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25" w:lineRule="exact"/>
        <w:rPr>
          <w:sz w:val="24"/>
          <w:szCs w:val="24"/>
          <w:color w:val="auto"/>
        </w:rPr>
      </w:pPr>
    </w:p>
    <w:p>
      <w:pPr>
        <w:ind w:left="1660" w:hanging="375"/>
        <w:spacing w:after="0"/>
        <w:tabs>
          <w:tab w:leader="none" w:pos="16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June 30, 2021</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66" w:lineRule="exact"/>
        <w:rPr>
          <w:sz w:val="24"/>
          <w:szCs w:val="24"/>
          <w:color w:val="auto"/>
        </w:rPr>
      </w:pPr>
    </w:p>
    <w:p>
      <w:pPr>
        <w:ind w:left="3960" w:right="1280" w:hanging="2673"/>
        <w:spacing w:after="0" w:line="262" w:lineRule="auto"/>
        <w:tabs>
          <w:tab w:leader="none" w:pos="1662"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 xml:space="preserve">For the transition period from </w:t>
      </w:r>
      <w:r>
        <w:rPr>
          <w:rFonts w:ascii="Arial" w:cs="Arial" w:eastAsia="Arial" w:hAnsi="Arial"/>
          <w:sz w:val="16"/>
          <w:szCs w:val="16"/>
          <w:color w:val="FFFFFF"/>
        </w:rPr>
        <w:t>_____</w:t>
      </w:r>
      <w:r>
        <w:rPr>
          <w:rFonts w:ascii="Arial" w:cs="Arial" w:eastAsia="Arial" w:hAnsi="Arial"/>
          <w:sz w:val="16"/>
          <w:szCs w:val="16"/>
          <w:color w:val="auto"/>
        </w:rPr>
        <w:t xml:space="preserve"> to </w:t>
      </w:r>
      <w:r>
        <w:rPr>
          <w:rFonts w:ascii="Arial" w:cs="Arial" w:eastAsia="Arial" w:hAnsi="Arial"/>
          <w:sz w:val="16"/>
          <w:szCs w:val="16"/>
          <w:color w:val="FFFFFF"/>
        </w:rPr>
        <w:t>_____</w:t>
      </w:r>
      <w:r>
        <w:rPr>
          <w:rFonts w:ascii="Arial" w:cs="Arial" w:eastAsia="Arial" w:hAnsi="Arial"/>
          <w:sz w:val="16"/>
          <w:szCs w:val="16"/>
          <w:color w:val="auto"/>
        </w:rPr>
        <w:t xml:space="preserve"> .</w:t>
      </w:r>
    </w:p>
    <w:p>
      <w:pPr>
        <w:spacing w:after="0" w:line="1" w:lineRule="exact"/>
        <w:rPr>
          <w:rFonts w:ascii="MS PGothic" w:cs="MS PGothic" w:eastAsia="MS PGothic" w:hAnsi="MS PGothic"/>
          <w:sz w:val="22"/>
          <w:szCs w:val="22"/>
          <w:color w:val="auto"/>
        </w:rPr>
      </w:pPr>
    </w:p>
    <w:p>
      <w:pPr>
        <w:ind w:left="4280"/>
        <w:spacing w:after="0"/>
        <w:rPr>
          <w:rFonts w:ascii="MS PGothic" w:cs="MS PGothic" w:eastAsia="MS PGothic" w:hAnsi="MS PGothic"/>
          <w:sz w:val="22"/>
          <w:szCs w:val="22"/>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001-37983</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365" w:lineRule="exact"/>
        <w:rPr>
          <w:sz w:val="24"/>
          <w:szCs w:val="24"/>
          <w:color w:val="auto"/>
        </w:rPr>
      </w:pPr>
    </w:p>
    <w:tbl>
      <w:tblPr>
        <w:tblLayout w:type="fixed"/>
        <w:tblInd w:w="1200" w:type="dxa"/>
        <w:tblCellMar>
          <w:top w:w="0" w:type="dxa"/>
          <w:left w:w="0" w:type="dxa"/>
          <w:bottom w:w="0" w:type="dxa"/>
          <w:right w:w="0" w:type="dxa"/>
        </w:tblCellMar>
      </w:tblPr>
      <w:tr>
        <w:trPr>
          <w:trHeight w:val="215"/>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United Kingdom</w:t>
            </w:r>
          </w:p>
        </w:tc>
        <w:tc>
          <w:tcPr>
            <w:tcW w:w="3440" w:type="dxa"/>
            <w:vAlign w:val="bottom"/>
          </w:tcPr>
          <w:p>
            <w:pPr>
              <w:jc w:val="right"/>
              <w:ind w:right="448"/>
              <w:spacing w:after="0"/>
              <w:rPr>
                <w:sz w:val="20"/>
                <w:szCs w:val="20"/>
                <w:color w:val="auto"/>
              </w:rPr>
            </w:pPr>
            <w:r>
              <w:rPr>
                <w:rFonts w:ascii="Arial" w:cs="Arial" w:eastAsia="Arial" w:hAnsi="Arial"/>
                <w:sz w:val="16"/>
                <w:szCs w:val="16"/>
                <w:b w:val="1"/>
                <w:bCs w:val="1"/>
                <w:color w:val="auto"/>
              </w:rPr>
              <w:t>98-1283037</w:t>
            </w:r>
          </w:p>
        </w:tc>
      </w:tr>
      <w:tr>
        <w:trPr>
          <w:trHeight w:val="166"/>
        </w:trPr>
        <w:tc>
          <w:tcPr>
            <w:tcW w:w="4740" w:type="dxa"/>
            <w:vAlign w:val="bottom"/>
          </w:tcPr>
          <w:p>
            <w:pPr>
              <w:jc w:val="center"/>
              <w:ind w:right="1425"/>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3440" w:type="dxa"/>
            <w:vAlign w:val="bottom"/>
          </w:tcPr>
          <w:p>
            <w:pPr>
              <w:jc w:val="center"/>
              <w:ind w:left="1428"/>
              <w:spacing w:after="0"/>
              <w:rPr>
                <w:sz w:val="20"/>
                <w:szCs w:val="20"/>
                <w:color w:val="auto"/>
              </w:rPr>
            </w:pPr>
            <w:r>
              <w:rPr>
                <w:rFonts w:ascii="Arial" w:cs="Arial" w:eastAsia="Arial" w:hAnsi="Arial"/>
                <w:sz w:val="13"/>
                <w:szCs w:val="13"/>
                <w:color w:val="auto"/>
                <w:w w:val="96"/>
              </w:rPr>
              <w:t>(I.R.S. Employer Identification No.)</w:t>
            </w:r>
          </w:p>
        </w:tc>
      </w:tr>
      <w:tr>
        <w:trPr>
          <w:trHeight w:val="388"/>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One St. Paul’s Churchyard</w:t>
            </w:r>
          </w:p>
        </w:tc>
        <w:tc>
          <w:tcPr>
            <w:tcW w:w="3440" w:type="dxa"/>
            <w:vAlign w:val="bottom"/>
          </w:tcPr>
          <w:p>
            <w:pPr>
              <w:spacing w:after="0"/>
              <w:rPr>
                <w:sz w:val="24"/>
                <w:szCs w:val="24"/>
                <w:color w:val="auto"/>
              </w:rPr>
            </w:pPr>
          </w:p>
        </w:tc>
      </w:tr>
      <w:tr>
        <w:trPr>
          <w:trHeight w:val="216"/>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London</w:t>
            </w:r>
          </w:p>
        </w:tc>
        <w:tc>
          <w:tcPr>
            <w:tcW w:w="3440" w:type="dxa"/>
            <w:vAlign w:val="bottom"/>
          </w:tcPr>
          <w:p>
            <w:pPr>
              <w:spacing w:after="0"/>
              <w:rPr>
                <w:sz w:val="18"/>
                <w:szCs w:val="18"/>
                <w:color w:val="auto"/>
              </w:rPr>
            </w:pPr>
          </w:p>
        </w:tc>
      </w:tr>
      <w:tr>
        <w:trPr>
          <w:trHeight w:val="216"/>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United Kingdom</w:t>
            </w:r>
          </w:p>
        </w:tc>
        <w:tc>
          <w:tcPr>
            <w:tcW w:w="3440" w:type="dxa"/>
            <w:vAlign w:val="bottom"/>
          </w:tcPr>
          <w:p>
            <w:pPr>
              <w:jc w:val="center"/>
              <w:ind w:left="1448"/>
              <w:spacing w:after="0"/>
              <w:rPr>
                <w:sz w:val="20"/>
                <w:szCs w:val="20"/>
                <w:color w:val="auto"/>
              </w:rPr>
            </w:pPr>
            <w:r>
              <w:rPr>
                <w:rFonts w:ascii="Arial" w:cs="Arial" w:eastAsia="Arial" w:hAnsi="Arial"/>
                <w:sz w:val="16"/>
                <w:szCs w:val="16"/>
                <w:b w:val="1"/>
                <w:bCs w:val="1"/>
                <w:color w:val="auto"/>
                <w:w w:val="99"/>
              </w:rPr>
              <w:t>EC4M 8AP</w:t>
            </w:r>
          </w:p>
        </w:tc>
      </w:tr>
      <w:tr>
        <w:trPr>
          <w:trHeight w:val="166"/>
        </w:trPr>
        <w:tc>
          <w:tcPr>
            <w:tcW w:w="4740" w:type="dxa"/>
            <w:vAlign w:val="bottom"/>
          </w:tcPr>
          <w:p>
            <w:pPr>
              <w:jc w:val="center"/>
              <w:ind w:right="1425"/>
              <w:spacing w:after="0"/>
              <w:rPr>
                <w:sz w:val="20"/>
                <w:szCs w:val="20"/>
                <w:color w:val="auto"/>
              </w:rPr>
            </w:pPr>
            <w:r>
              <w:rPr>
                <w:rFonts w:ascii="Arial" w:cs="Arial" w:eastAsia="Arial" w:hAnsi="Arial"/>
                <w:sz w:val="13"/>
                <w:szCs w:val="13"/>
                <w:color w:val="auto"/>
                <w:w w:val="97"/>
              </w:rPr>
              <w:t>(Address of principal executive offices)</w:t>
            </w:r>
          </w:p>
        </w:tc>
        <w:tc>
          <w:tcPr>
            <w:tcW w:w="3440" w:type="dxa"/>
            <w:vAlign w:val="bottom"/>
          </w:tcPr>
          <w:p>
            <w:pPr>
              <w:jc w:val="center"/>
              <w:ind w:left="1448"/>
              <w:spacing w:after="0"/>
              <w:rPr>
                <w:sz w:val="20"/>
                <w:szCs w:val="20"/>
                <w:color w:val="auto"/>
              </w:rPr>
            </w:pPr>
            <w:r>
              <w:rPr>
                <w:rFonts w:ascii="Arial" w:cs="Arial" w:eastAsia="Arial" w:hAnsi="Arial"/>
                <w:sz w:val="13"/>
                <w:szCs w:val="13"/>
                <w:color w:val="auto"/>
                <w:w w:val="97"/>
              </w:rPr>
              <w:t>(Zip Code)</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+44 203-429-3950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ind w:left="3460"/>
        <w:spacing w:after="0"/>
        <w:rPr>
          <w:sz w:val="20"/>
          <w:szCs w:val="20"/>
          <w:color w:val="auto"/>
        </w:rPr>
      </w:pPr>
      <w:r>
        <w:rPr>
          <w:rFonts w:ascii="Arial" w:cs="Arial" w:eastAsia="Arial" w:hAnsi="Arial"/>
          <w:sz w:val="14"/>
          <w:szCs w:val="14"/>
          <w:color w:val="auto"/>
        </w:rPr>
        <w:t>______________________________________________________</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947" w:right="339" w:bottom="1440" w:gutter="0" w:footer="0" w:header="0"/>
        </w:sectPr>
      </w:pPr>
    </w:p>
    <w:p>
      <w:pPr>
        <w:spacing w:after="0" w:line="29"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4"/>
          <w:szCs w:val="14"/>
          <w:b w:val="1"/>
          <w:bCs w:val="1"/>
          <w:color w:val="auto"/>
        </w:rPr>
        <w:t>Name of Each Exchange on Which Registered</w:t>
      </w:r>
    </w:p>
    <w:p>
      <w:pPr>
        <w:spacing w:after="0" w:line="45" w:lineRule="exact"/>
        <w:rPr>
          <w:sz w:val="24"/>
          <w:szCs w:val="24"/>
          <w:color w:val="auto"/>
        </w:rPr>
      </w:pPr>
    </w:p>
    <w:p>
      <w:pPr>
        <w:sectPr>
          <w:pgSz w:w="11900" w:h="16838" w:orient="portrait"/>
          <w:cols w:equalWidth="0" w:num="2">
            <w:col w:w="4360" w:space="720"/>
            <w:col w:w="6160"/>
          </w:cols>
          <w:pgMar w:left="320" w:top="947"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00" w:lineRule="exact"/>
        <w:rPr>
          <w:sz w:val="24"/>
          <w:szCs w:val="24"/>
          <w:color w:val="auto"/>
        </w:rPr>
      </w:pPr>
    </w:p>
    <w:p>
      <w:pPr>
        <w:sectPr>
          <w:pgSz w:w="11900" w:h="16838" w:orient="portrait"/>
          <w:cols w:equalWidth="0" w:num="3">
            <w:col w:w="4780" w:space="720"/>
            <w:col w:w="1900" w:space="720"/>
            <w:col w:w="3120"/>
          </w:cols>
          <w:pgMar w:left="320" w:top="947" w:right="339" w:bottom="1440" w:gutter="0" w:footer="0" w:header="0"/>
          <w:type w:val="continuous"/>
        </w:sectPr>
      </w:pPr>
    </w:p>
    <w:p>
      <w:pPr>
        <w:spacing w:after="0" w:line="152"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5"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5" w:lineRule="exact"/>
        <w:rPr>
          <w:sz w:val="24"/>
          <w:szCs w:val="24"/>
          <w:color w:val="auto"/>
        </w:rPr>
      </w:pPr>
    </w:p>
    <w:p>
      <w:pPr>
        <w:ind w:right="2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0" w:type="dxa"/>
        <w:tblCellMar>
          <w:top w:w="0" w:type="dxa"/>
          <w:left w:w="0" w:type="dxa"/>
          <w:bottom w:w="0" w:type="dxa"/>
          <w:right w:w="0" w:type="dxa"/>
        </w:tblCellMar>
      </w:tblPr>
      <w:tr>
        <w:trPr>
          <w:trHeight w:val="182"/>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4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4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780" w:type="dxa"/>
            <w:vAlign w:val="bottom"/>
          </w:tcPr>
          <w:p>
            <w:pPr>
              <w:ind w:left="244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3760" w:type="dxa"/>
            <w:vAlign w:val="bottom"/>
            <w:gridSpan w:val="2"/>
          </w:tcPr>
          <w:p>
            <w:pPr>
              <w:jc w:val="center"/>
              <w:ind w:right="3380"/>
              <w:spacing w:after="0"/>
              <w:rPr>
                <w:sz w:val="20"/>
                <w:szCs w:val="20"/>
                <w:color w:val="auto"/>
              </w:rPr>
            </w:pPr>
            <w:r>
              <w:rPr>
                <w:rFonts w:ascii="Arial" w:cs="Arial" w:eastAsia="Arial" w:hAnsi="Arial"/>
                <w:sz w:val="14"/>
                <w:szCs w:val="14"/>
                <w:b w:val="1"/>
                <w:bCs w:val="1"/>
                <w:color w:val="auto"/>
              </w:rPr>
              <w:t>Class</w:t>
            </w:r>
          </w:p>
        </w:tc>
        <w:tc>
          <w:tcPr>
            <w:tcW w:w="540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rPr>
              <w:t>Outstanding at July 28, 2021</w:t>
            </w:r>
          </w:p>
        </w:tc>
      </w:tr>
      <w:tr>
        <w:trPr>
          <w:trHeight w:val="20"/>
        </w:trPr>
        <w:tc>
          <w:tcPr>
            <w:tcW w:w="2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8"/>
        </w:trPr>
        <w:tc>
          <w:tcPr>
            <w:tcW w:w="58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Ordinary shares, $1.00 par value per share</w:t>
            </w:r>
          </w:p>
        </w:tc>
        <w:tc>
          <w:tcPr>
            <w:tcW w:w="4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450,700,480</w:t>
            </w:r>
          </w:p>
        </w:tc>
        <w:tc>
          <w:tcPr>
            <w:tcW w:w="1340" w:type="dxa"/>
            <w:vAlign w:val="bottom"/>
          </w:tcPr>
          <w:p>
            <w:pPr>
              <w:spacing w:after="0"/>
              <w:rPr>
                <w:sz w:val="17"/>
                <w:szCs w:val="17"/>
                <w:color w:val="auto"/>
              </w:rPr>
            </w:pPr>
          </w:p>
        </w:tc>
      </w:tr>
      <w:tr>
        <w:trPr>
          <w:trHeight w:val="187"/>
        </w:trPr>
        <w:tc>
          <w:tcPr>
            <w:tcW w:w="20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34"/>
        </w:trPr>
        <w:tc>
          <w:tcPr>
            <w:tcW w:w="2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783"/>
        </w:trPr>
        <w:tc>
          <w:tcPr>
            <w:tcW w:w="2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162"/>
        </w:trPr>
        <w:tc>
          <w:tcPr>
            <w:tcW w:w="20" w:type="dxa"/>
            <w:vAlign w:val="bottom"/>
            <w:shd w:val="clear" w:color="auto" w:fill="CCEEFF"/>
          </w:tcPr>
          <w:p>
            <w:pPr>
              <w:spacing w:after="0"/>
              <w:rPr>
                <w:sz w:val="14"/>
                <w:szCs w:val="14"/>
                <w:color w:val="auto"/>
              </w:rPr>
            </w:pPr>
          </w:p>
        </w:tc>
        <w:tc>
          <w:tcPr>
            <w:tcW w:w="2020" w:type="dxa"/>
            <w:vAlign w:val="bottom"/>
            <w:gridSpan w:val="10"/>
            <w:shd w:val="clear" w:color="auto" w:fill="CCEEFF"/>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PART I — Financial Information</w:t>
              </w:r>
            </w:hyperlink>
          </w:p>
        </w:tc>
        <w:tc>
          <w:tcPr>
            <w:tcW w:w="6700" w:type="dxa"/>
            <w:vAlign w:val="bottom"/>
            <w:gridSpan w:val="15"/>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rFonts w:ascii="Arial" w:cs="Arial" w:eastAsia="Arial" w:hAnsi="Arial"/>
                <w:sz w:val="14"/>
                <w:szCs w:val="14"/>
                <w:color w:val="0000FF"/>
                <w:w w:val="76"/>
              </w:rPr>
            </w:pPr>
            <w:hyperlink w:anchor="page3">
              <w:r>
                <w:rPr>
                  <w:rFonts w:ascii="Arial" w:cs="Arial" w:eastAsia="Arial" w:hAnsi="Arial"/>
                  <w:sz w:val="14"/>
                  <w:szCs w:val="14"/>
                  <w:color w:val="0000FF"/>
                  <w:w w:val="76"/>
                </w:rPr>
                <w:t>4</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Item 1. Financial Statements (Unaudited)</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3">
              <w:r>
                <w:rPr>
                  <w:rFonts w:ascii="Arial" w:cs="Arial" w:eastAsia="Arial" w:hAnsi="Arial"/>
                  <w:sz w:val="14"/>
                  <w:szCs w:val="14"/>
                  <w:color w:val="0000FF"/>
                </w:rPr>
                <w:t>4</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4">
              <w:r>
                <w:rPr>
                  <w:rFonts w:ascii="Arial" w:cs="Arial" w:eastAsia="Arial" w:hAnsi="Arial"/>
                  <w:sz w:val="14"/>
                  <w:szCs w:val="14"/>
                  <w:color w:val="0000FF"/>
                </w:rPr>
                <w:t>Condensed Consolidated Statements of Income</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4">
              <w:r>
                <w:rPr>
                  <w:rFonts w:ascii="Arial" w:cs="Arial" w:eastAsia="Arial" w:hAnsi="Arial"/>
                  <w:sz w:val="14"/>
                  <w:szCs w:val="14"/>
                  <w:color w:val="0000FF"/>
                </w:rPr>
                <w:t>4</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4">
              <w:r>
                <w:rPr>
                  <w:rFonts w:ascii="Arial" w:cs="Arial" w:eastAsia="Arial" w:hAnsi="Arial"/>
                  <w:sz w:val="14"/>
                  <w:szCs w:val="14"/>
                  <w:color w:val="0000FF"/>
                </w:rPr>
                <w:t>Condensed Consolidated Statements of Comprehensive Income</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4">
              <w:r>
                <w:rPr>
                  <w:rFonts w:ascii="Arial" w:cs="Arial" w:eastAsia="Arial" w:hAnsi="Arial"/>
                  <w:sz w:val="14"/>
                  <w:szCs w:val="14"/>
                  <w:color w:val="0000FF"/>
                </w:rPr>
                <w:t>5</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5">
              <w:r>
                <w:rPr>
                  <w:rFonts w:ascii="Arial" w:cs="Arial" w:eastAsia="Arial" w:hAnsi="Arial"/>
                  <w:sz w:val="14"/>
                  <w:szCs w:val="14"/>
                  <w:color w:val="0000FF"/>
                </w:rPr>
                <w:t>Condensed Consolidated Balance Sheets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Cash Flows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7">
              <w:r>
                <w:rPr>
                  <w:rFonts w:ascii="Arial" w:cs="Arial" w:eastAsia="Arial" w:hAnsi="Arial"/>
                  <w:sz w:val="14"/>
                  <w:szCs w:val="14"/>
                  <w:color w:val="0000FF"/>
                </w:rPr>
                <w:t>Condensed Consolidated Statements of Changes in Stockholders’ Equity</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8">
              <w:r>
                <w:rPr>
                  <w:rFonts w:ascii="Arial" w:cs="Arial" w:eastAsia="Arial" w:hAnsi="Arial"/>
                  <w:sz w:val="14"/>
                  <w:szCs w:val="14"/>
                  <w:color w:val="0000FF"/>
                </w:rPr>
                <w:t>9</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9">
              <w:r>
                <w:rPr>
                  <w:rFonts w:ascii="Arial" w:cs="Arial" w:eastAsia="Arial" w:hAnsi="Arial"/>
                  <w:sz w:val="14"/>
                  <w:szCs w:val="14"/>
                  <w:color w:val="0000FF"/>
                </w:rPr>
                <w:t>Notes to Condensed Consolidated Financial Statements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9">
              <w:r>
                <w:rPr>
                  <w:rFonts w:ascii="Arial" w:cs="Arial" w:eastAsia="Arial" w:hAnsi="Arial"/>
                  <w:sz w:val="14"/>
                  <w:szCs w:val="14"/>
                  <w:color w:val="0000FF"/>
                </w:rPr>
                <w:t>10</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Item 2. Management’s Discussion and Analysis of Financial Condition and Results of Operations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32">
              <w:r>
                <w:rPr>
                  <w:rFonts w:ascii="Arial" w:cs="Arial" w:eastAsia="Arial" w:hAnsi="Arial"/>
                  <w:sz w:val="14"/>
                  <w:szCs w:val="14"/>
                  <w:color w:val="0000FF"/>
                </w:rPr>
                <w:t>33</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gridSpan w:val="23"/>
          </w:tcPr>
          <w:p>
            <w:pPr>
              <w:ind w:left="340"/>
              <w:spacing w:after="0"/>
              <w:rPr>
                <w:rFonts w:ascii="Arial" w:cs="Arial" w:eastAsia="Arial" w:hAnsi="Arial"/>
                <w:sz w:val="14"/>
                <w:szCs w:val="14"/>
                <w:color w:val="0000FF"/>
              </w:rPr>
            </w:pPr>
            <w:hyperlink w:anchor="page33">
              <w:r>
                <w:rPr>
                  <w:rFonts w:ascii="Arial" w:cs="Arial" w:eastAsia="Arial" w:hAnsi="Arial"/>
                  <w:sz w:val="14"/>
                  <w:szCs w:val="14"/>
                  <w:color w:val="0000FF"/>
                </w:rPr>
                <w:t>Business Outlook</w:t>
              </w:r>
            </w:hyperlink>
          </w:p>
        </w:tc>
        <w:tc>
          <w:tcPr>
            <w:tcW w:w="2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33">
              <w:r>
                <w:rPr>
                  <w:rFonts w:ascii="Arial" w:cs="Arial" w:eastAsia="Arial" w:hAnsi="Arial"/>
                  <w:sz w:val="14"/>
                  <w:szCs w:val="14"/>
                  <w:color w:val="0000FF"/>
                  <w:w w:val="89"/>
                </w:rPr>
                <w:t>33</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36">
              <w:r>
                <w:rPr>
                  <w:rFonts w:ascii="Arial" w:cs="Arial" w:eastAsia="Arial" w:hAnsi="Arial"/>
                  <w:sz w:val="14"/>
                  <w:szCs w:val="14"/>
                  <w:color w:val="0000FF"/>
                </w:rPr>
                <w:t>Consolidated Results of Operations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36">
              <w:r>
                <w:rPr>
                  <w:rFonts w:ascii="Arial" w:cs="Arial" w:eastAsia="Arial" w:hAnsi="Arial"/>
                  <w:sz w:val="14"/>
                  <w:szCs w:val="14"/>
                  <w:color w:val="0000FF"/>
                </w:rPr>
                <w:t>37</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39">
              <w:r>
                <w:rPr>
                  <w:rFonts w:ascii="Arial" w:cs="Arial" w:eastAsia="Arial" w:hAnsi="Arial"/>
                  <w:sz w:val="14"/>
                  <w:szCs w:val="14"/>
                  <w:color w:val="0000FF"/>
                </w:rPr>
                <w:t>Segment Results of Operations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39">
              <w:r>
                <w:rPr>
                  <w:rFonts w:ascii="Arial" w:cs="Arial" w:eastAsia="Arial" w:hAnsi="Arial"/>
                  <w:sz w:val="14"/>
                  <w:szCs w:val="14"/>
                  <w:color w:val="0000FF"/>
                </w:rPr>
                <w:t>40</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40">
              <w:r>
                <w:rPr>
                  <w:rFonts w:ascii="Arial" w:cs="Arial" w:eastAsia="Arial" w:hAnsi="Arial"/>
                  <w:sz w:val="14"/>
                  <w:szCs w:val="14"/>
                  <w:color w:val="0000FF"/>
                </w:rPr>
                <w:t>Non-GAAP Measures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40">
              <w:r>
                <w:rPr>
                  <w:rFonts w:ascii="Arial" w:cs="Arial" w:eastAsia="Arial" w:hAnsi="Arial"/>
                  <w:sz w:val="14"/>
                  <w:szCs w:val="14"/>
                  <w:color w:val="0000FF"/>
                </w:rPr>
                <w:t>41</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48">
              <w:r>
                <w:rPr>
                  <w:rFonts w:ascii="Arial" w:cs="Arial" w:eastAsia="Arial" w:hAnsi="Arial"/>
                  <w:sz w:val="14"/>
                  <w:szCs w:val="14"/>
                  <w:color w:val="0000FF"/>
                </w:rPr>
                <w:t>Inbound Orders and Order Backlog</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48">
              <w:r>
                <w:rPr>
                  <w:rFonts w:ascii="Arial" w:cs="Arial" w:eastAsia="Arial" w:hAnsi="Arial"/>
                  <w:sz w:val="14"/>
                  <w:szCs w:val="14"/>
                  <w:color w:val="0000FF"/>
                </w:rPr>
                <w:t>47</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49">
              <w:r>
                <w:rPr>
                  <w:rFonts w:ascii="Arial" w:cs="Arial" w:eastAsia="Arial" w:hAnsi="Arial"/>
                  <w:sz w:val="14"/>
                  <w:szCs w:val="14"/>
                  <w:color w:val="0000FF"/>
                </w:rPr>
                <w:t>Liquidity and Capital Resources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49">
              <w:r>
                <w:rPr>
                  <w:rFonts w:ascii="Arial" w:cs="Arial" w:eastAsia="Arial" w:hAnsi="Arial"/>
                  <w:sz w:val="14"/>
                  <w:szCs w:val="14"/>
                  <w:color w:val="0000FF"/>
                </w:rPr>
                <w:t>48</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20" w:type="dxa"/>
            <w:vAlign w:val="bottom"/>
            <w:gridSpan w:val="24"/>
          </w:tcPr>
          <w:p>
            <w:pPr>
              <w:ind w:left="340"/>
              <w:spacing w:after="0"/>
              <w:rPr>
                <w:rFonts w:ascii="Arial" w:cs="Arial" w:eastAsia="Arial" w:hAnsi="Arial"/>
                <w:sz w:val="14"/>
                <w:szCs w:val="14"/>
                <w:color w:val="0000FF"/>
              </w:rPr>
            </w:pPr>
            <w:hyperlink w:anchor="page51">
              <w:r>
                <w:rPr>
                  <w:rFonts w:ascii="Arial" w:cs="Arial" w:eastAsia="Arial" w:hAnsi="Arial"/>
                  <w:sz w:val="14"/>
                  <w:szCs w:val="14"/>
                  <w:color w:val="0000FF"/>
                </w:rPr>
                <w:t>Critical Accounting Estimates</w:t>
              </w:r>
            </w:hyperlink>
          </w:p>
        </w:tc>
        <w:tc>
          <w:tcPr>
            <w:tcW w:w="2500" w:type="dxa"/>
            <w:vAlign w:val="bottom"/>
            <w:gridSpan w:val="4"/>
          </w:tcPr>
          <w:p>
            <w:pPr>
              <w:jc w:val="right"/>
              <w:ind w:right="20"/>
              <w:spacing w:after="0"/>
              <w:rPr>
                <w:rFonts w:ascii="Arial" w:cs="Arial" w:eastAsia="Arial" w:hAnsi="Arial"/>
                <w:sz w:val="14"/>
                <w:szCs w:val="14"/>
                <w:color w:val="0000FF"/>
              </w:rPr>
            </w:pPr>
            <w:hyperlink w:anchor="page51">
              <w:r>
                <w:rPr>
                  <w:rFonts w:ascii="Arial" w:cs="Arial" w:eastAsia="Arial" w:hAnsi="Arial"/>
                  <w:sz w:val="14"/>
                  <w:szCs w:val="14"/>
                  <w:color w:val="0000FF"/>
                </w:rPr>
                <w:t>50</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ind w:left="340"/>
              <w:spacing w:after="0"/>
              <w:rPr>
                <w:rFonts w:ascii="Arial" w:cs="Arial" w:eastAsia="Arial" w:hAnsi="Arial"/>
                <w:sz w:val="14"/>
                <w:szCs w:val="14"/>
                <w:color w:val="0000FF"/>
              </w:rPr>
            </w:pPr>
            <w:hyperlink w:anchor="page51">
              <w:r>
                <w:rPr>
                  <w:rFonts w:ascii="Arial" w:cs="Arial" w:eastAsia="Arial" w:hAnsi="Arial"/>
                  <w:sz w:val="14"/>
                  <w:szCs w:val="14"/>
                  <w:color w:val="0000FF"/>
                </w:rPr>
                <w:t>Other Matters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51">
              <w:r>
                <w:rPr>
                  <w:rFonts w:ascii="Arial" w:cs="Arial" w:eastAsia="Arial" w:hAnsi="Arial"/>
                  <w:sz w:val="14"/>
                  <w:szCs w:val="14"/>
                  <w:color w:val="0000FF"/>
                </w:rPr>
                <w:t>50</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60" w:type="dxa"/>
            <w:vAlign w:val="bottom"/>
            <w:gridSpan w:val="19"/>
          </w:tcPr>
          <w:p>
            <w:pPr>
              <w:spacing w:after="0"/>
              <w:rPr>
                <w:rFonts w:ascii="Arial" w:cs="Arial" w:eastAsia="Arial" w:hAnsi="Arial"/>
                <w:sz w:val="14"/>
                <w:szCs w:val="14"/>
                <w:color w:val="0000FF"/>
              </w:rPr>
            </w:pPr>
            <w:hyperlink w:anchor="page52">
              <w:r>
                <w:rPr>
                  <w:rFonts w:ascii="Arial" w:cs="Arial" w:eastAsia="Arial" w:hAnsi="Arial"/>
                  <w:sz w:val="14"/>
                  <w:szCs w:val="14"/>
                  <w:color w:val="0000FF"/>
                </w:rPr>
                <w:t>Item 3. Quantitative and Qualitative Disclosures About Market Risk</w:t>
              </w:r>
            </w:hyperlink>
          </w:p>
        </w:tc>
        <w:tc>
          <w:tcPr>
            <w:tcW w:w="4260" w:type="dxa"/>
            <w:vAlign w:val="bottom"/>
            <w:gridSpan w:val="5"/>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2">
              <w:r>
                <w:rPr>
                  <w:rFonts w:ascii="Arial" w:cs="Arial" w:eastAsia="Arial" w:hAnsi="Arial"/>
                  <w:sz w:val="14"/>
                  <w:szCs w:val="14"/>
                  <w:color w:val="0000FF"/>
                  <w:w w:val="89"/>
                </w:rPr>
                <w:t>51</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tcBorders>
              <w:right w:val="single" w:sz="8" w:color="CCEEFF"/>
            </w:tcBorders>
            <w:gridSpan w:val="10"/>
            <w:shd w:val="clear" w:color="auto" w:fill="CCEEFF"/>
          </w:tcPr>
          <w:p>
            <w:pPr>
              <w:spacing w:after="0"/>
              <w:rPr>
                <w:rFonts w:ascii="Arial" w:cs="Arial" w:eastAsia="Arial" w:hAnsi="Arial"/>
                <w:sz w:val="14"/>
                <w:szCs w:val="14"/>
                <w:color w:val="0000FF"/>
              </w:rPr>
            </w:pPr>
            <w:hyperlink w:anchor="page52">
              <w:r>
                <w:rPr>
                  <w:rFonts w:ascii="Arial" w:cs="Arial" w:eastAsia="Arial" w:hAnsi="Arial"/>
                  <w:sz w:val="14"/>
                  <w:szCs w:val="14"/>
                  <w:color w:val="0000FF"/>
                </w:rPr>
                <w:t>Item 4. Controls and Procedures</w:t>
              </w:r>
            </w:hyperlink>
          </w:p>
        </w:tc>
        <w:tc>
          <w:tcPr>
            <w:tcW w:w="2180" w:type="dxa"/>
            <w:vAlign w:val="bottom"/>
            <w:gridSpan w:val="9"/>
            <w:shd w:val="clear" w:color="auto" w:fill="CCEEFF"/>
          </w:tcPr>
          <w:p>
            <w:pPr>
              <w:spacing w:after="0"/>
              <w:rPr>
                <w:sz w:val="14"/>
                <w:szCs w:val="14"/>
                <w:color w:val="auto"/>
              </w:rPr>
            </w:pPr>
          </w:p>
        </w:tc>
        <w:tc>
          <w:tcPr>
            <w:tcW w:w="4260" w:type="dxa"/>
            <w:vAlign w:val="bottom"/>
            <w:gridSpan w:val="5"/>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52">
              <w:r>
                <w:rPr>
                  <w:rFonts w:ascii="Arial" w:cs="Arial" w:eastAsia="Arial" w:hAnsi="Arial"/>
                  <w:sz w:val="14"/>
                  <w:szCs w:val="14"/>
                  <w:color w:val="0000FF"/>
                  <w:w w:val="89"/>
                </w:rPr>
                <w:t>51</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800" w:type="dxa"/>
            <w:vAlign w:val="bottom"/>
            <w:gridSpan w:val="8"/>
          </w:tcPr>
          <w:p>
            <w:pPr>
              <w:spacing w:after="0"/>
              <w:rPr>
                <w:rFonts w:ascii="Arial" w:cs="Arial" w:eastAsia="Arial" w:hAnsi="Arial"/>
                <w:sz w:val="14"/>
                <w:szCs w:val="14"/>
                <w:color w:val="0000FF"/>
                <w:w w:val="97"/>
              </w:rPr>
            </w:pPr>
            <w:hyperlink w:anchor="page52">
              <w:r>
                <w:rPr>
                  <w:rFonts w:ascii="Arial" w:cs="Arial" w:eastAsia="Arial" w:hAnsi="Arial"/>
                  <w:sz w:val="14"/>
                  <w:szCs w:val="14"/>
                  <w:color w:val="0000FF"/>
                  <w:w w:val="97"/>
                </w:rPr>
                <w:t>PART II — Other Information</w:t>
              </w:r>
            </w:hyperlink>
          </w:p>
        </w:tc>
        <w:tc>
          <w:tcPr>
            <w:tcW w:w="6920" w:type="dxa"/>
            <w:vAlign w:val="bottom"/>
            <w:gridSpan w:val="17"/>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2">
              <w:r>
                <w:rPr>
                  <w:rFonts w:ascii="Arial" w:cs="Arial" w:eastAsia="Arial" w:hAnsi="Arial"/>
                  <w:sz w:val="14"/>
                  <w:szCs w:val="14"/>
                  <w:color w:val="0000FF"/>
                  <w:w w:val="89"/>
                </w:rPr>
                <w:t>52</w:t>
              </w:r>
            </w:hyperlink>
          </w:p>
        </w:tc>
      </w:tr>
      <w:tr>
        <w:trPr>
          <w:trHeight w:val="27"/>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tcBorders>
              <w:right w:val="single" w:sz="8" w:color="CCEEFF"/>
            </w:tcBorders>
            <w:gridSpan w:val="8"/>
            <w:shd w:val="clear" w:color="auto" w:fill="CCEEFF"/>
          </w:tcPr>
          <w:p>
            <w:pPr>
              <w:spacing w:after="0"/>
              <w:rPr>
                <w:rFonts w:ascii="Arial" w:cs="Arial" w:eastAsia="Arial" w:hAnsi="Arial"/>
                <w:sz w:val="14"/>
                <w:szCs w:val="14"/>
                <w:color w:val="0000FF"/>
              </w:rPr>
            </w:pPr>
            <w:hyperlink w:anchor="page53">
              <w:r>
                <w:rPr>
                  <w:rFonts w:ascii="Arial" w:cs="Arial" w:eastAsia="Arial" w:hAnsi="Arial"/>
                  <w:sz w:val="14"/>
                  <w:szCs w:val="14"/>
                  <w:color w:val="0000FF"/>
                </w:rPr>
                <w:t>Item 1. Legal Proceedings</w:t>
              </w:r>
            </w:hyperlink>
          </w:p>
        </w:tc>
        <w:tc>
          <w:tcPr>
            <w:tcW w:w="6800" w:type="dxa"/>
            <w:vAlign w:val="bottom"/>
            <w:gridSpan w:val="16"/>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53">
              <w:r>
                <w:rPr>
                  <w:rFonts w:ascii="Arial" w:cs="Arial" w:eastAsia="Arial" w:hAnsi="Arial"/>
                  <w:sz w:val="14"/>
                  <w:szCs w:val="14"/>
                  <w:color w:val="0000FF"/>
                  <w:w w:val="89"/>
                </w:rPr>
                <w:t>52</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8"/>
          </w:tcPr>
          <w:p>
            <w:pPr>
              <w:spacing w:after="0"/>
              <w:rPr>
                <w:rFonts w:ascii="Arial" w:cs="Arial" w:eastAsia="Arial" w:hAnsi="Arial"/>
                <w:sz w:val="14"/>
                <w:szCs w:val="14"/>
                <w:color w:val="0000FF"/>
              </w:rPr>
            </w:pPr>
            <w:hyperlink w:anchor="page53">
              <w:r>
                <w:rPr>
                  <w:rFonts w:ascii="Arial" w:cs="Arial" w:eastAsia="Arial" w:hAnsi="Arial"/>
                  <w:sz w:val="14"/>
                  <w:szCs w:val="14"/>
                  <w:color w:val="0000FF"/>
                </w:rPr>
                <w:t>Item 1A. Risk Factors</w:t>
              </w:r>
            </w:hyperlink>
          </w:p>
        </w:tc>
        <w:tc>
          <w:tcPr>
            <w:tcW w:w="6800" w:type="dxa"/>
            <w:vAlign w:val="bottom"/>
            <w:gridSpan w:val="16"/>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3">
              <w:r>
                <w:rPr>
                  <w:rFonts w:ascii="Arial" w:cs="Arial" w:eastAsia="Arial" w:hAnsi="Arial"/>
                  <w:sz w:val="14"/>
                  <w:szCs w:val="14"/>
                  <w:color w:val="0000FF"/>
                  <w:w w:val="89"/>
                </w:rPr>
                <w:t>52</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20" w:type="dxa"/>
            <w:vAlign w:val="bottom"/>
            <w:gridSpan w:val="24"/>
            <w:shd w:val="clear" w:color="auto" w:fill="CCEEFF"/>
          </w:tcPr>
          <w:p>
            <w:pPr>
              <w:spacing w:after="0"/>
              <w:rPr>
                <w:rFonts w:ascii="Arial" w:cs="Arial" w:eastAsia="Arial" w:hAnsi="Arial"/>
                <w:sz w:val="14"/>
                <w:szCs w:val="14"/>
                <w:color w:val="0000FF"/>
              </w:rPr>
            </w:pPr>
            <w:hyperlink w:anchor="page53">
              <w:r>
                <w:rPr>
                  <w:rFonts w:ascii="Arial" w:cs="Arial" w:eastAsia="Arial" w:hAnsi="Arial"/>
                  <w:sz w:val="14"/>
                  <w:szCs w:val="14"/>
                  <w:color w:val="0000FF"/>
                </w:rPr>
                <w:t>Item 2. Unregistered Sales of Equity Securities and Use of Proceeds</w:t>
              </w:r>
            </w:hyperlink>
          </w:p>
        </w:tc>
        <w:tc>
          <w:tcPr>
            <w:tcW w:w="2500" w:type="dxa"/>
            <w:vAlign w:val="bottom"/>
            <w:gridSpan w:val="4"/>
            <w:shd w:val="clear" w:color="auto" w:fill="CCEEFF"/>
          </w:tcPr>
          <w:p>
            <w:pPr>
              <w:jc w:val="right"/>
              <w:ind w:right="20"/>
              <w:spacing w:after="0"/>
              <w:rPr>
                <w:rFonts w:ascii="Arial" w:cs="Arial" w:eastAsia="Arial" w:hAnsi="Arial"/>
                <w:sz w:val="14"/>
                <w:szCs w:val="14"/>
                <w:color w:val="0000FF"/>
              </w:rPr>
            </w:pPr>
            <w:hyperlink w:anchor="page53">
              <w:r>
                <w:rPr>
                  <w:rFonts w:ascii="Arial" w:cs="Arial" w:eastAsia="Arial" w:hAnsi="Arial"/>
                  <w:sz w:val="14"/>
                  <w:szCs w:val="14"/>
                  <w:color w:val="0000FF"/>
                </w:rPr>
                <w:t>52</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60" w:type="dxa"/>
            <w:vAlign w:val="bottom"/>
            <w:gridSpan w:val="20"/>
          </w:tcPr>
          <w:p>
            <w:pPr>
              <w:spacing w:after="0"/>
              <w:rPr>
                <w:rFonts w:ascii="Arial" w:cs="Arial" w:eastAsia="Arial" w:hAnsi="Arial"/>
                <w:sz w:val="14"/>
                <w:szCs w:val="14"/>
                <w:color w:val="0000FF"/>
              </w:rPr>
            </w:pPr>
            <w:hyperlink w:anchor="page53">
              <w:r>
                <w:rPr>
                  <w:rFonts w:ascii="Arial" w:cs="Arial" w:eastAsia="Arial" w:hAnsi="Arial"/>
                  <w:sz w:val="14"/>
                  <w:szCs w:val="14"/>
                  <w:color w:val="0000FF"/>
                </w:rPr>
                <w:t>Item 3. Defaults Upon Senior Securities</w:t>
              </w:r>
            </w:hyperlink>
          </w:p>
        </w:tc>
        <w:tc>
          <w:tcPr>
            <w:tcW w:w="4160" w:type="dxa"/>
            <w:vAlign w:val="bottom"/>
            <w:gridSpan w:val="4"/>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3">
              <w:r>
                <w:rPr>
                  <w:rFonts w:ascii="Arial" w:cs="Arial" w:eastAsia="Arial" w:hAnsi="Arial"/>
                  <w:sz w:val="14"/>
                  <w:szCs w:val="14"/>
                  <w:color w:val="0000FF"/>
                  <w:w w:val="89"/>
                </w:rPr>
                <w:t>52</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tcBorders>
              <w:right w:val="single" w:sz="8" w:color="CCEEFF"/>
            </w:tcBorders>
            <w:gridSpan w:val="10"/>
            <w:shd w:val="clear" w:color="auto" w:fill="CCEEFF"/>
          </w:tcPr>
          <w:p>
            <w:pPr>
              <w:spacing w:after="0"/>
              <w:rPr>
                <w:rFonts w:ascii="Arial" w:cs="Arial" w:eastAsia="Arial" w:hAnsi="Arial"/>
                <w:sz w:val="14"/>
                <w:szCs w:val="14"/>
                <w:color w:val="0000FF"/>
              </w:rPr>
            </w:pPr>
            <w:hyperlink w:anchor="page53">
              <w:r>
                <w:rPr>
                  <w:rFonts w:ascii="Arial" w:cs="Arial" w:eastAsia="Arial" w:hAnsi="Arial"/>
                  <w:sz w:val="14"/>
                  <w:szCs w:val="14"/>
                  <w:color w:val="0000FF"/>
                </w:rPr>
                <w:t>Item 4. Mine Safety Disclosures</w:t>
              </w:r>
            </w:hyperlink>
          </w:p>
        </w:tc>
        <w:tc>
          <w:tcPr>
            <w:tcW w:w="440" w:type="dxa"/>
            <w:vAlign w:val="bottom"/>
            <w:gridSpan w:val="3"/>
            <w:shd w:val="clear" w:color="auto" w:fill="CCEEFF"/>
          </w:tcPr>
          <w:p>
            <w:pPr>
              <w:spacing w:after="0"/>
              <w:rPr>
                <w:sz w:val="14"/>
                <w:szCs w:val="14"/>
                <w:color w:val="auto"/>
              </w:rPr>
            </w:pPr>
          </w:p>
        </w:tc>
        <w:tc>
          <w:tcPr>
            <w:tcW w:w="6000" w:type="dxa"/>
            <w:vAlign w:val="bottom"/>
            <w:tcBorders>
              <w:left w:val="single" w:sz="8" w:color="CCEEFF"/>
            </w:tcBorders>
            <w:gridSpan w:val="11"/>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53">
              <w:r>
                <w:rPr>
                  <w:rFonts w:ascii="Arial" w:cs="Arial" w:eastAsia="Arial" w:hAnsi="Arial"/>
                  <w:sz w:val="14"/>
                  <w:szCs w:val="14"/>
                  <w:color w:val="0000FF"/>
                  <w:w w:val="89"/>
                </w:rPr>
                <w:t>52</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10"/>
          </w:tcPr>
          <w:p>
            <w:pPr>
              <w:spacing w:after="0"/>
              <w:rPr>
                <w:rFonts w:ascii="Arial" w:cs="Arial" w:eastAsia="Arial" w:hAnsi="Arial"/>
                <w:sz w:val="14"/>
                <w:szCs w:val="14"/>
                <w:color w:val="0000FF"/>
              </w:rPr>
            </w:pPr>
            <w:hyperlink w:anchor="page53">
              <w:r>
                <w:rPr>
                  <w:rFonts w:ascii="Arial" w:cs="Arial" w:eastAsia="Arial" w:hAnsi="Arial"/>
                  <w:sz w:val="14"/>
                  <w:szCs w:val="14"/>
                  <w:color w:val="0000FF"/>
                </w:rPr>
                <w:t>Item 5. Other Information</w:t>
              </w:r>
            </w:hyperlink>
          </w:p>
        </w:tc>
        <w:tc>
          <w:tcPr>
            <w:tcW w:w="6440" w:type="dxa"/>
            <w:vAlign w:val="bottom"/>
            <w:gridSpan w:val="14"/>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3">
              <w:r>
                <w:rPr>
                  <w:rFonts w:ascii="Arial" w:cs="Arial" w:eastAsia="Arial" w:hAnsi="Arial"/>
                  <w:sz w:val="14"/>
                  <w:szCs w:val="14"/>
                  <w:color w:val="0000FF"/>
                  <w:w w:val="89"/>
                </w:rPr>
                <w:t>52</w:t>
              </w:r>
            </w:hyperlink>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spacing w:after="0"/>
              <w:rPr>
                <w:rFonts w:ascii="Arial" w:cs="Arial" w:eastAsia="Arial" w:hAnsi="Arial"/>
                <w:sz w:val="14"/>
                <w:szCs w:val="14"/>
                <w:color w:val="0000FF"/>
              </w:rPr>
            </w:pPr>
            <w:hyperlink w:anchor="page53">
              <w:r>
                <w:rPr>
                  <w:rFonts w:ascii="Arial" w:cs="Arial" w:eastAsia="Arial" w:hAnsi="Arial"/>
                  <w:sz w:val="14"/>
                  <w:szCs w:val="14"/>
                  <w:color w:val="0000FF"/>
                </w:rPr>
                <w:t>Item 6. Exhibits</w:t>
              </w:r>
            </w:hyperlink>
          </w:p>
        </w:tc>
        <w:tc>
          <w:tcPr>
            <w:tcW w:w="600" w:type="dxa"/>
            <w:vAlign w:val="bottom"/>
            <w:gridSpan w:val="4"/>
            <w:shd w:val="clear" w:color="auto" w:fill="CCEEFF"/>
          </w:tcPr>
          <w:p>
            <w:pPr>
              <w:spacing w:after="0"/>
              <w:rPr>
                <w:sz w:val="14"/>
                <w:szCs w:val="14"/>
                <w:color w:val="auto"/>
              </w:rPr>
            </w:pPr>
          </w:p>
        </w:tc>
        <w:tc>
          <w:tcPr>
            <w:tcW w:w="6920" w:type="dxa"/>
            <w:vAlign w:val="bottom"/>
            <w:tcBorders>
              <w:left w:val="single" w:sz="8" w:color="CCEEFF"/>
            </w:tcBorders>
            <w:gridSpan w:val="17"/>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rFonts w:ascii="Arial" w:cs="Arial" w:eastAsia="Arial" w:hAnsi="Arial"/>
                <w:sz w:val="14"/>
                <w:szCs w:val="14"/>
                <w:color w:val="0000FF"/>
                <w:w w:val="89"/>
              </w:rPr>
            </w:pPr>
            <w:hyperlink w:anchor="page53">
              <w:r>
                <w:rPr>
                  <w:rFonts w:ascii="Arial" w:cs="Arial" w:eastAsia="Arial" w:hAnsi="Arial"/>
                  <w:sz w:val="14"/>
                  <w:szCs w:val="14"/>
                  <w:color w:val="0000FF"/>
                  <w:w w:val="89"/>
                </w:rPr>
                <w:t>53</w:t>
              </w:r>
            </w:hyperlink>
          </w:p>
        </w:tc>
      </w:tr>
      <w:tr>
        <w:trPr>
          <w:trHeight w:val="27"/>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spacing w:after="0"/>
              <w:rPr>
                <w:rFonts w:ascii="Arial" w:cs="Arial" w:eastAsia="Arial" w:hAnsi="Arial"/>
                <w:sz w:val="14"/>
                <w:szCs w:val="14"/>
                <w:color w:val="0000FF"/>
              </w:rPr>
            </w:pPr>
            <w:hyperlink w:anchor="page54">
              <w:r>
                <w:rPr>
                  <w:rFonts w:ascii="Arial" w:cs="Arial" w:eastAsia="Arial" w:hAnsi="Arial"/>
                  <w:sz w:val="14"/>
                  <w:szCs w:val="14"/>
                  <w:color w:val="0000FF"/>
                </w:rPr>
                <w:t>Signature</w:t>
              </w:r>
            </w:hyperlink>
          </w:p>
        </w:tc>
        <w:tc>
          <w:tcPr>
            <w:tcW w:w="7520" w:type="dxa"/>
            <w:vAlign w:val="bottom"/>
            <w:gridSpan w:val="21"/>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54">
              <w:r>
                <w:rPr>
                  <w:rFonts w:ascii="Arial" w:cs="Arial" w:eastAsia="Arial" w:hAnsi="Arial"/>
                  <w:sz w:val="14"/>
                  <w:szCs w:val="14"/>
                  <w:color w:val="0000FF"/>
                  <w:w w:val="89"/>
                </w:rPr>
                <w:t>54</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This Quarterly Report on Form 10-Q of TechnipFMC plc (the “Company,” “we,” “us,” or “our”) contains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these forward-looking statements are reasonable as and when made, there can be no assurance that future developments affecting us will be those that we anticipate.</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 Item 1A, “Risk Factors” of our Annual Report on Form 10-K for the fiscal year ended December 31, 2020 and Part II, Item 1A, “Risk Factors” and elsewhere of this Quarterly Report on Form 10-Q, including unpredictable trends in the demand for and price of crude oil and natural gas; competition and unanticipated changes relating to competitive factors in our industry, including ongoing industry consolidation; the COVID-19 pandemic and its impact on the demand for our products and services; our inability to develop, implement and protect new technologies and services; the cumulative loss of major contracts, customers or alliances; disruptions in the political, regulatory, economic and social conditions of the countries in which we conduct business; the refusal of DTC and Euroclear to act as depository and clearing agencies for our shares; the United Kingdom’s withdrawal from the European Union; the impact of our existing and future indebtedness and the restrictions on our operations by terms of the agreements governing our existing indebtedness; the risks caused by our acquisition and divestiture activities; the risks caused by fixed-price contracts; any delays and cost overruns of new capital asset construction projects for vessels and manufacturing facilities; our failure to deliver our backlog; our reliance on subcontractors, suppliers and our joint venture partners; a failure or breach of our IT infrastructure or that of our subcontractors, suppliers or joint venture partners, including as a result of cyber-attacks; the risks of pirates endangering our maritime employees and assets; potential liabilities inherent in the industries in which we operate or have operated; our failure to comply with numerous laws and regulations, including those related to environmental protection, health and safety, labor and employment, import/export controls, currency exchange, bribery and corruption, taxation, privacy, data protection and data security; the additional restrictions on dividend payouts or share repurchases as an English public limited company; uninsured claims and litigation against us, including intellectual property litigation; tax laws, treaties and regulations and any unfavorable findings by relevant tax authorities; the uncertainties related to the anticipated benefits or our future liabilities in connection with the spin-off of Technip Energies (the “Spin-off”); any negative changes in Technip Energies’s results of operations, cash flows and financial position, which impact the value of our remaining investment therein; potential departure of our key managers and employees; adverse seasonal and weather conditions and unfavorable currency exchange rate and risk in connection with our defined benefit pension plan commitments.</w:t>
      </w:r>
    </w:p>
    <w:p>
      <w:pPr>
        <w:spacing w:after="0" w:line="25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TECHNIPFMC PLC AND CONSOLIDATED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INCOME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w:t>
            </w:r>
          </w:p>
        </w:tc>
        <w:tc>
          <w:tcPr>
            <w:tcW w:w="900" w:type="dxa"/>
            <w:vAlign w:val="bottom"/>
          </w:tcPr>
          <w:p>
            <w:pPr>
              <w:spacing w:after="0"/>
              <w:rPr>
                <w:sz w:val="14"/>
                <w:szCs w:val="14"/>
                <w:color w:val="auto"/>
              </w:rPr>
            </w:pPr>
          </w:p>
        </w:tc>
      </w:tr>
      <w:tr>
        <w:trPr>
          <w:trHeight w:val="185"/>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5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 except per share data)</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2020</w:t>
            </w:r>
          </w:p>
        </w:tc>
      </w:tr>
      <w:tr>
        <w:trPr>
          <w:trHeight w:val="162"/>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Service revenue</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913.4</w:t>
            </w:r>
          </w:p>
        </w:tc>
        <w:tc>
          <w:tcPr>
            <w:tcW w:w="100" w:type="dxa"/>
            <w:vAlign w:val="bottom"/>
          </w:tcPr>
          <w:p>
            <w:pPr>
              <w:spacing w:after="0"/>
              <w:rPr>
                <w:sz w:val="14"/>
                <w:szCs w:val="14"/>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793.9</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1,739.6</w:t>
            </w:r>
          </w:p>
        </w:tc>
        <w:tc>
          <w:tcPr>
            <w:tcW w:w="100" w:type="dxa"/>
            <w:vAlign w:val="bottom"/>
          </w:tcPr>
          <w:p>
            <w:pPr>
              <w:spacing w:after="0"/>
              <w:rPr>
                <w:sz w:val="14"/>
                <w:szCs w:val="14"/>
                <w:color w:val="auto"/>
              </w:rPr>
            </w:pP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1,567.5</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Product revenue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1,559.4</w:t>
            </w:r>
          </w:p>
        </w:tc>
      </w:tr>
      <w:tr>
        <w:trPr>
          <w:trHeight w:val="169"/>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Lease revenue</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w:t>
            </w:r>
          </w:p>
        </w:tc>
      </w:tr>
      <w:tr>
        <w:trPr>
          <w:trHeight w:val="176"/>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revenue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3,202.8</w:t>
            </w:r>
          </w:p>
        </w:tc>
      </w:tr>
      <w:tr>
        <w:trPr>
          <w:trHeight w:val="162"/>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Costs and expenses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7"/>
        </w:trPr>
        <w:tc>
          <w:tcPr>
            <w:tcW w:w="5220" w:type="dxa"/>
            <w:vAlign w:val="bottom"/>
          </w:tcPr>
          <w:p>
            <w:pPr>
              <w:ind w:left="220"/>
              <w:spacing w:after="0"/>
              <w:rPr>
                <w:sz w:val="20"/>
                <w:szCs w:val="20"/>
                <w:color w:val="auto"/>
              </w:rPr>
            </w:pPr>
            <w:r>
              <w:rPr>
                <w:rFonts w:ascii="Arial" w:cs="Arial" w:eastAsia="Arial" w:hAnsi="Arial"/>
                <w:sz w:val="13"/>
                <w:szCs w:val="13"/>
                <w:color w:val="auto"/>
              </w:rPr>
              <w:t>Cost of service revenue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833.3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794.9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1,577.1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1,499.3</w:t>
            </w:r>
          </w:p>
        </w:tc>
      </w:tr>
      <w:tr>
        <w:trPr>
          <w:trHeight w:val="184"/>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Cost of product revenue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1,293.4</w:t>
            </w: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Cost of lease revenue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62.1</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Selling, general and administrative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353.1</w:t>
            </w: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Research and development expense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50.5</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Impairment, restructuring and other expenses (Note 16)</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3,302.7</w:t>
            </w:r>
          </w:p>
        </w:tc>
      </w:tr>
      <w:tr>
        <w:trPr>
          <w:trHeight w:val="161"/>
        </w:trPr>
        <w:tc>
          <w:tcPr>
            <w:tcW w:w="5220" w:type="dxa"/>
            <w:vAlign w:val="bottom"/>
          </w:tcPr>
          <w:p>
            <w:pPr>
              <w:ind w:left="20"/>
              <w:spacing w:after="0"/>
              <w:rPr>
                <w:sz w:val="20"/>
                <w:szCs w:val="20"/>
                <w:color w:val="auto"/>
              </w:rPr>
            </w:pPr>
            <w:r>
              <w:rPr>
                <w:rFonts w:ascii="Arial" w:cs="Arial" w:eastAsia="Arial" w:hAnsi="Arial"/>
                <w:sz w:val="13"/>
                <w:szCs w:val="13"/>
                <w:b w:val="1"/>
                <w:bCs w:val="1"/>
                <w:color w:val="auto"/>
              </w:rPr>
              <w:t>Total costs and expenses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1,636.3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1,737.2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3,267.1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6,561.1</w:t>
            </w:r>
          </w:p>
        </w:tc>
      </w:tr>
      <w:tr>
        <w:trPr>
          <w:trHeight w:val="170"/>
        </w:trPr>
        <w:tc>
          <w:tcPr>
            <w:tcW w:w="5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Other income (expense), net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(28.2)</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from equity affiliates (Note 11)</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r>
      <w:tr>
        <w:trPr>
          <w:trHeight w:val="169"/>
        </w:trPr>
        <w:tc>
          <w:tcPr>
            <w:tcW w:w="5220" w:type="dxa"/>
            <w:vAlign w:val="bottom"/>
          </w:tcPr>
          <w:p>
            <w:pPr>
              <w:ind w:left="220"/>
              <w:spacing w:after="0"/>
              <w:rPr>
                <w:sz w:val="20"/>
                <w:szCs w:val="20"/>
                <w:color w:val="auto"/>
              </w:rPr>
            </w:pPr>
            <w:r>
              <w:rPr>
                <w:rFonts w:ascii="Arial" w:cs="Arial" w:eastAsia="Arial" w:hAnsi="Arial"/>
                <w:sz w:val="13"/>
                <w:szCs w:val="13"/>
                <w:color w:val="auto"/>
              </w:rPr>
              <w:t>Income (loss) from investment in Technip Energies (Note 11)</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323.3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net interest expense and income taxes</w:t>
            </w: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(102.5)</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412.1</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(3,349.7)</w:t>
            </w: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Interest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28.7</w:t>
            </w: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r>
      <w:tr>
        <w:trPr>
          <w:trHeight w:val="169"/>
        </w:trPr>
        <w:tc>
          <w:tcPr>
            <w:tcW w:w="5220" w:type="dxa"/>
            <w:vAlign w:val="bottom"/>
          </w:tcPr>
          <w:p>
            <w:pPr>
              <w:ind w:left="220"/>
              <w:spacing w:after="0"/>
              <w:rPr>
                <w:sz w:val="20"/>
                <w:szCs w:val="20"/>
                <w:color w:val="auto"/>
              </w:rPr>
            </w:pPr>
            <w:r>
              <w:rPr>
                <w:rFonts w:ascii="Arial" w:cs="Arial" w:eastAsia="Arial" w:hAnsi="Arial"/>
                <w:sz w:val="13"/>
                <w:szCs w:val="13"/>
                <w:color w:val="auto"/>
              </w:rPr>
              <w:t>Loss on early extinguishment of debt</w:t>
            </w:r>
          </w:p>
        </w:tc>
        <w:tc>
          <w:tcPr>
            <w:tcW w:w="3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(137.7)</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(148.2)</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318.9</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(3,399.3)</w:t>
            </w:r>
          </w:p>
        </w:tc>
      </w:tr>
      <w:tr>
        <w:trPr>
          <w:trHeight w:val="169"/>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Provision for income taxes (Note 18)</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r>
      <w:tr>
        <w:trPr>
          <w:trHeight w:val="175"/>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from continuing operations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(3,403.7)</w:t>
            </w:r>
          </w:p>
        </w:tc>
      </w:tr>
      <w:tr>
        <w:trPr>
          <w:trHeight w:val="16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from continuing operations attributable to non-controlling interests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r>
      <w:tr>
        <w:trPr>
          <w:trHeight w:val="175"/>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from continuing operations attributable to TechnipFMC plc</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(174.7)</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255.6</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(3,412.4)</w:t>
            </w:r>
          </w:p>
        </w:tc>
      </w:tr>
      <w:tr>
        <w:trPr>
          <w:trHeight w:val="161"/>
        </w:trPr>
        <w:tc>
          <w:tcPr>
            <w:tcW w:w="5220" w:type="dxa"/>
            <w:vAlign w:val="bottom"/>
          </w:tcPr>
          <w:p>
            <w:pPr>
              <w:ind w:left="20"/>
              <w:spacing w:after="0" w:line="139" w:lineRule="exact"/>
              <w:rPr>
                <w:sz w:val="20"/>
                <w:szCs w:val="20"/>
                <w:color w:val="auto"/>
              </w:rPr>
            </w:pPr>
            <w:r>
              <w:rPr>
                <w:rFonts w:ascii="Arial" w:cs="Arial" w:eastAsia="Arial" w:hAnsi="Arial"/>
                <w:sz w:val="13"/>
                <w:szCs w:val="13"/>
                <w:color w:val="auto"/>
              </w:rPr>
              <w:t>Income (loss) from discontinued operations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173.3</w:t>
            </w:r>
          </w:p>
        </w:tc>
      </w:tr>
      <w:tr>
        <w:trPr>
          <w:trHeight w:val="184"/>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discontinued operations attributable to non-controlling interests</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63"/>
        </w:trPr>
        <w:tc>
          <w:tcPr>
            <w:tcW w:w="522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Net income (loss) attributable to TechnipFMC plc</w:t>
            </w: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(167.0)</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(3,244.4)</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5"/>
        </w:trPr>
        <w:tc>
          <w:tcPr>
            <w:tcW w:w="5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8"/>
        </w:trPr>
        <w:tc>
          <w:tcPr>
            <w:tcW w:w="5220" w:type="dxa"/>
            <w:vAlign w:val="bottom"/>
          </w:tcPr>
          <w:p>
            <w:pPr>
              <w:ind w:left="20"/>
              <w:spacing w:after="0"/>
              <w:rPr>
                <w:sz w:val="20"/>
                <w:szCs w:val="20"/>
                <w:color w:val="auto"/>
              </w:rPr>
            </w:pPr>
            <w:r>
              <w:rPr>
                <w:rFonts w:ascii="Arial" w:cs="Arial" w:eastAsia="Arial" w:hAnsi="Arial"/>
                <w:sz w:val="13"/>
                <w:szCs w:val="13"/>
                <w:color w:val="auto"/>
              </w:rPr>
              <w:t>Earnings (loss) per share from continuing operations attributable to TechnipFMC plc</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w:t>
            </w:r>
          </w:p>
        </w:tc>
      </w:tr>
      <w:tr>
        <w:trPr>
          <w:trHeight w:val="168"/>
        </w:trPr>
        <w:tc>
          <w:tcPr>
            <w:tcW w:w="5220" w:type="dxa"/>
            <w:vAlign w:val="bottom"/>
          </w:tcPr>
          <w:p>
            <w:pPr>
              <w:ind w:left="220"/>
              <w:spacing w:after="0"/>
              <w:rPr>
                <w:sz w:val="20"/>
                <w:szCs w:val="20"/>
                <w:color w:val="auto"/>
              </w:rPr>
            </w:pPr>
            <w:r>
              <w:rPr>
                <w:rFonts w:ascii="Arial" w:cs="Arial" w:eastAsia="Arial" w:hAnsi="Arial"/>
                <w:sz w:val="13"/>
                <w:szCs w:val="13"/>
                <w:color w:val="auto"/>
              </w:rPr>
              <w:t>Diluted</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(0.39)</w:t>
            </w:r>
          </w:p>
        </w:tc>
        <w:tc>
          <w:tcPr>
            <w:tcW w:w="100" w:type="dxa"/>
            <w:vAlign w:val="bottom"/>
          </w:tcPr>
          <w:p>
            <w:pPr>
              <w:spacing w:after="0"/>
              <w:rPr>
                <w:sz w:val="14"/>
                <w:szCs w:val="14"/>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(0.40)</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0.56</w:t>
            </w:r>
          </w:p>
        </w:tc>
        <w:tc>
          <w:tcPr>
            <w:tcW w:w="100" w:type="dxa"/>
            <w:vAlign w:val="bottom"/>
          </w:tcPr>
          <w:p>
            <w:pPr>
              <w:spacing w:after="0"/>
              <w:rPr>
                <w:sz w:val="14"/>
                <w:szCs w:val="14"/>
                <w:color w:val="auto"/>
              </w:rPr>
            </w:pP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(7.62)</w:t>
            </w:r>
          </w:p>
        </w:tc>
      </w:tr>
      <w:tr>
        <w:trPr>
          <w:trHeight w:val="170"/>
        </w:trPr>
        <w:tc>
          <w:tcPr>
            <w:tcW w:w="5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8"/>
        </w:trPr>
        <w:tc>
          <w:tcPr>
            <w:tcW w:w="5220" w:type="dxa"/>
            <w:vAlign w:val="bottom"/>
          </w:tcPr>
          <w:p>
            <w:pPr>
              <w:ind w:left="20"/>
              <w:spacing w:after="0"/>
              <w:rPr>
                <w:sz w:val="20"/>
                <w:szCs w:val="20"/>
                <w:color w:val="auto"/>
              </w:rPr>
            </w:pPr>
            <w:r>
              <w:rPr>
                <w:rFonts w:ascii="Arial" w:cs="Arial" w:eastAsia="Arial" w:hAnsi="Arial"/>
                <w:sz w:val="13"/>
                <w:szCs w:val="13"/>
                <w:color w:val="auto"/>
              </w:rPr>
              <w:t>Earnings (loss) per share from discontinued operations attributable to TechnipFMC plc</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4"/>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Basic and diluted</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0.38</w:t>
            </w:r>
          </w:p>
        </w:tc>
      </w:tr>
      <w:tr>
        <w:trPr>
          <w:trHeight w:val="162"/>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earnings (loss) per share attributable to TechnipFMC plc</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7"/>
        </w:trPr>
        <w:tc>
          <w:tcPr>
            <w:tcW w:w="5220" w:type="dxa"/>
            <w:vAlign w:val="bottom"/>
          </w:tcPr>
          <w:p>
            <w:pPr>
              <w:ind w:left="220"/>
              <w:spacing w:after="0"/>
              <w:rPr>
                <w:sz w:val="20"/>
                <w:szCs w:val="20"/>
                <w:color w:val="auto"/>
              </w:rPr>
            </w:pPr>
            <w:r>
              <w:rPr>
                <w:rFonts w:ascii="Arial" w:cs="Arial" w:eastAsia="Arial" w:hAnsi="Arial"/>
                <w:sz w:val="13"/>
                <w:szCs w:val="13"/>
                <w:color w:val="auto"/>
              </w:rPr>
              <w:t>Basic</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(0.37)</w:t>
            </w:r>
          </w:p>
        </w:tc>
        <w:tc>
          <w:tcPr>
            <w:tcW w:w="100" w:type="dxa"/>
            <w:vAlign w:val="bottom"/>
          </w:tcPr>
          <w:p>
            <w:pPr>
              <w:spacing w:after="0"/>
              <w:rPr>
                <w:sz w:val="14"/>
                <w:szCs w:val="14"/>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0.45</w:t>
            </w:r>
          </w:p>
        </w:tc>
        <w:tc>
          <w:tcPr>
            <w:tcW w:w="100" w:type="dxa"/>
            <w:vAlign w:val="bottom"/>
          </w:tcPr>
          <w:p>
            <w:pPr>
              <w:spacing w:after="0"/>
              <w:rPr>
                <w:sz w:val="14"/>
                <w:szCs w:val="14"/>
                <w:color w:val="auto"/>
              </w:rPr>
            </w:pP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(7.24)</w:t>
            </w:r>
          </w:p>
        </w:tc>
      </w:tr>
      <w:tr>
        <w:trPr>
          <w:trHeight w:val="184"/>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Diluted</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w:t>
            </w:r>
          </w:p>
        </w:tc>
      </w:tr>
      <w:tr>
        <w:trPr>
          <w:trHeight w:val="162"/>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shares outstanding (Note 6)</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7"/>
        </w:trPr>
        <w:tc>
          <w:tcPr>
            <w:tcW w:w="5220" w:type="dxa"/>
            <w:vAlign w:val="bottom"/>
          </w:tcPr>
          <w:p>
            <w:pPr>
              <w:ind w:left="220"/>
              <w:spacing w:after="0"/>
              <w:rPr>
                <w:sz w:val="20"/>
                <w:szCs w:val="20"/>
                <w:color w:val="auto"/>
              </w:rPr>
            </w:pPr>
            <w:r>
              <w:rPr>
                <w:rFonts w:ascii="Arial" w:cs="Arial" w:eastAsia="Arial" w:hAnsi="Arial"/>
                <w:sz w:val="13"/>
                <w:szCs w:val="13"/>
                <w:color w:val="auto"/>
              </w:rPr>
              <w:t>Basic</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450.6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450.4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447.9</w:t>
            </w:r>
          </w:p>
        </w:tc>
      </w:tr>
      <w:tr>
        <w:trPr>
          <w:trHeight w:val="184"/>
        </w:trPr>
        <w:tc>
          <w:tcPr>
            <w:tcW w:w="5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Diluted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447.9</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 w:name="page5"/>
    <w:bookmarkEnd w:id="4"/>
    <w:p>
      <w:pPr>
        <w:ind w:left="3540"/>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TechnipFMC plc</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(3,244.4)</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Income from continuing operations attributable to non-controlling interests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discontinued operations attributable to non-controlling interests</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28"/>
        </w:trPr>
        <w:tc>
          <w:tcPr>
            <w:tcW w:w="52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 TechnipFMC plc, including non-controlling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(3,230.4)</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interest</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line="189" w:lineRule="exact"/>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8"/>
                <w:szCs w:val="18"/>
                <w:color w:val="auto"/>
                <w:vertAlign w:val="superscript"/>
              </w:rPr>
              <w:t>(a)</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140"/>
              <w:spacing w:after="0"/>
              <w:rPr>
                <w:sz w:val="20"/>
                <w:szCs w:val="20"/>
                <w:color w:val="auto"/>
              </w:rPr>
            </w:pPr>
            <w:r>
              <w:rPr>
                <w:rFonts w:ascii="Arial" w:cs="Arial" w:eastAsia="Arial" w:hAnsi="Arial"/>
                <w:sz w:val="14"/>
                <w:szCs w:val="14"/>
                <w:i w:val="1"/>
                <w:iCs w:val="1"/>
                <w:color w:val="auto"/>
              </w:rPr>
              <w:t>Net losses on hedging instruments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Net losses on hedging instruments</w:t>
            </w:r>
            <w:r>
              <w:rPr>
                <w:rFonts w:ascii="Arial" w:cs="Arial" w:eastAsia="Arial" w:hAnsi="Arial"/>
                <w:sz w:val="18"/>
                <w:szCs w:val="18"/>
                <w:b w:val="1"/>
                <w:bCs w:val="1"/>
                <w:color w:val="auto"/>
                <w:vertAlign w:val="superscript"/>
              </w:rPr>
              <w:t>(b)</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Pension and other post-retirement benefits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Reclassification adjustment for amortization of prior service cost included in</w:t>
            </w: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220"/>
              <w:spacing w:after="0" w:line="153" w:lineRule="exact"/>
              <w:rPr>
                <w:sz w:val="20"/>
                <w:szCs w:val="20"/>
                <w:color w:val="auto"/>
              </w:rPr>
            </w:pPr>
            <w:r>
              <w:rPr>
                <w:rFonts w:ascii="Arial" w:cs="Arial" w:eastAsia="Arial" w:hAnsi="Arial"/>
                <w:sz w:val="14"/>
                <w:szCs w:val="14"/>
                <w:color w:val="auto"/>
              </w:rPr>
              <w:t>Reclassification adjustment for amortization of net actuarial loss included in</w:t>
            </w: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8"/>
                <w:szCs w:val="18"/>
                <w:b w:val="1"/>
                <w:bCs w:val="1"/>
                <w:color w:val="auto"/>
                <w:vertAlign w:val="superscript"/>
              </w:rPr>
              <w:t>(c)</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comprehensive income (loss), net of tax</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(246.2)</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(3,476.6)</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benefit of nil for the three and six months ended June 30, 2021 and 2020.</w:t>
      </w:r>
    </w:p>
    <w:p>
      <w:pPr>
        <w:spacing w:after="0" w:line="163" w:lineRule="exact"/>
        <w:rPr>
          <w:rFonts w:ascii="Arial" w:cs="Arial" w:eastAsia="Arial" w:hAnsi="Arial"/>
          <w:sz w:val="14"/>
          <w:szCs w:val="14"/>
          <w:color w:val="auto"/>
        </w:rPr>
      </w:pPr>
    </w:p>
    <w:p>
      <w:pPr>
        <w:ind w:left="340" w:right="80" w:hanging="332"/>
        <w:spacing w:after="0" w:line="258"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$(1.9) million and $(6.7) million for the three months ended June 30, 2021 and 2020, respectively, and $3.0 million and $15.8 million for the six months ended June 30, 2021 and 2020, respectively.</w:t>
      </w:r>
    </w:p>
    <w:p>
      <w:pPr>
        <w:spacing w:after="0" w:line="139" w:lineRule="exact"/>
        <w:rPr>
          <w:rFonts w:ascii="Arial" w:cs="Arial" w:eastAsia="Arial" w:hAnsi="Arial"/>
          <w:sz w:val="14"/>
          <w:szCs w:val="14"/>
          <w:color w:val="auto"/>
        </w:rPr>
      </w:pPr>
    </w:p>
    <w:p>
      <w:pPr>
        <w:ind w:left="340" w:right="420" w:hanging="332"/>
        <w:spacing w:after="0" w:line="258" w:lineRule="auto"/>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$(1.3) million and $(0.9) million for the three months ended June 30, 2021 and 2020, respectively, and $(3.4) million and $(1.5) million for the six months ended June 30, 2021 and 2020,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TECHNIPFMC PLC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 except par value data)</w:t>
            </w:r>
          </w:p>
        </w:tc>
        <w:tc>
          <w:tcPr>
            <w:tcW w:w="260" w:type="dxa"/>
            <w:vAlign w:val="bottom"/>
          </w:tcPr>
          <w:p>
            <w:pPr>
              <w:spacing w:after="0"/>
              <w:rPr>
                <w:sz w:val="10"/>
                <w:szCs w:val="10"/>
                <w:color w:val="auto"/>
              </w:rPr>
            </w:pPr>
          </w:p>
        </w:tc>
        <w:tc>
          <w:tcPr>
            <w:tcW w:w="11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w:t>
            </w:r>
          </w:p>
        </w:tc>
        <w:tc>
          <w:tcPr>
            <w:tcW w:w="200" w:type="dxa"/>
            <w:vAlign w:val="bottom"/>
          </w:tcPr>
          <w:p>
            <w:pPr>
              <w:spacing w:after="0"/>
              <w:rPr>
                <w:sz w:val="10"/>
                <w:szCs w:val="10"/>
                <w:color w:val="auto"/>
              </w:rPr>
            </w:pPr>
          </w:p>
        </w:tc>
        <w:tc>
          <w:tcPr>
            <w:tcW w:w="1120" w:type="dxa"/>
            <w:vAlign w:val="bottom"/>
          </w:tcPr>
          <w:p>
            <w:pPr>
              <w:jc w:val="right"/>
              <w:ind w:right="26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8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848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i w:val="1"/>
                <w:iCs w:val="1"/>
                <w:color w:val="auto"/>
              </w:rPr>
              <w:t>Assets</w:t>
            </w:r>
          </w:p>
        </w:tc>
        <w:tc>
          <w:tcPr>
            <w:tcW w:w="26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Cash and cash equivalents</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854.9</w:t>
            </w:r>
          </w:p>
        </w:tc>
        <w:tc>
          <w:tcPr>
            <w:tcW w:w="12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1,269.2</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Trade receivables, net of allowances of $43.5 in 2021 and $40.2 in 2020</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1,272.3</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987.7</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Contract assets, net of allowances of $0.2 in 2021 and $2.4 in 2020</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928.3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886.8</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Inventories, net (Note 8)</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1,135.8</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1,252.8</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Derivative financial instruments (Note 19)</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186.0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268.7</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Income taxes receivable</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274.7</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Advances paid to suppliers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60.6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96.3</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Other current assets (Note 9)</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578.7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683.4</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Investment in Technip Energies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760.0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Current assets of discontinued operations</w:t>
            </w:r>
          </w:p>
        </w:tc>
        <w:tc>
          <w:tcPr>
            <w:tcW w:w="2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5,725.1</w:t>
            </w:r>
          </w:p>
        </w:tc>
        <w:tc>
          <w:tcPr>
            <w:tcW w:w="0" w:type="dxa"/>
            <w:vAlign w:val="bottom"/>
          </w:tcPr>
          <w:p>
            <w:pPr>
              <w:spacing w:after="0"/>
              <w:rPr>
                <w:sz w:val="1"/>
                <w:szCs w:val="1"/>
                <w:color w:val="auto"/>
              </w:rPr>
            </w:pPr>
          </w:p>
        </w:tc>
      </w:tr>
      <w:tr>
        <w:trPr>
          <w:trHeight w:val="133"/>
        </w:trPr>
        <w:tc>
          <w:tcPr>
            <w:tcW w:w="8480" w:type="dxa"/>
            <w:vAlign w:val="bottom"/>
          </w:tcPr>
          <w:p>
            <w:pPr>
              <w:ind w:left="480"/>
              <w:spacing w:after="0"/>
              <w:rPr>
                <w:sz w:val="20"/>
                <w:szCs w:val="20"/>
                <w:color w:val="auto"/>
              </w:rPr>
            </w:pPr>
            <w:r>
              <w:rPr>
                <w:rFonts w:ascii="Arial" w:cs="Arial" w:eastAsia="Arial" w:hAnsi="Arial"/>
                <w:sz w:val="11"/>
                <w:szCs w:val="11"/>
                <w:color w:val="auto"/>
              </w:rPr>
              <w:t>Total current assets</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5,884.2</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11,444.7</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Investments in equity affiliates</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324.0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305.5</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Property, plant and equipment, net of accumulated depreciation of $2,423.6 in 2021 and $2,154.2 in 2020</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2,712.7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2,756.2</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Operating lease right-of-use assets</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728.6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784.9</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Finance lease right-of-use assets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50.4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27.5</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Intangible assets, net of accumulated amortization of $446.4 in 2021 and $493.1 in 2020</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809.7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851.3</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Deferred income taxes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40.3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34.2</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Derivative financial instruments (Note 19)</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12.9</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Other assets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165.1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175.6</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Non-current assets of discontinued operations</w:t>
            </w:r>
          </w:p>
        </w:tc>
        <w:tc>
          <w:tcPr>
            <w:tcW w:w="2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3,283.5</w:t>
            </w:r>
          </w:p>
        </w:tc>
        <w:tc>
          <w:tcPr>
            <w:tcW w:w="0" w:type="dxa"/>
            <w:vAlign w:val="bottom"/>
          </w:tcPr>
          <w:p>
            <w:pPr>
              <w:spacing w:after="0"/>
              <w:rPr>
                <w:sz w:val="1"/>
                <w:szCs w:val="1"/>
                <w:color w:val="auto"/>
              </w:rPr>
            </w:pPr>
          </w:p>
        </w:tc>
      </w:tr>
      <w:tr>
        <w:trPr>
          <w:trHeight w:val="155"/>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Total assets</w:t>
            </w: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10,727.9</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19,692.6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4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8480" w:type="dxa"/>
            <w:vAlign w:val="bottom"/>
          </w:tcPr>
          <w:p>
            <w:pPr>
              <w:ind w:left="20"/>
              <w:spacing w:after="0"/>
              <w:rPr>
                <w:sz w:val="20"/>
                <w:szCs w:val="20"/>
                <w:color w:val="auto"/>
              </w:rPr>
            </w:pPr>
            <w:r>
              <w:rPr>
                <w:rFonts w:ascii="Arial" w:cs="Arial" w:eastAsia="Arial" w:hAnsi="Arial"/>
                <w:sz w:val="11"/>
                <w:szCs w:val="11"/>
                <w:i w:val="1"/>
                <w:iCs w:val="1"/>
                <w:color w:val="auto"/>
              </w:rPr>
              <w:t>Liabilities and equity</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Short-term debt and current portion of long-term debt (Note 13)</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297.7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624.7</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Operating lease liabilities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133.2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195.5</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Finance lease liabilities</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26.9</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Accounts payable, trade</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1,307.2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1,201.0</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Contract liabilities</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833.6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1,046.8</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Accrued payroll</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185.6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186.8</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Derivative financial instruments (Note 19)</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128.8</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157.5</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Income taxes payable</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68.4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61.2</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Other current liabilities (Note 9)</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805.7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818.3</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Current liabilities of discontinued operations</w:t>
            </w:r>
          </w:p>
        </w:tc>
        <w:tc>
          <w:tcPr>
            <w:tcW w:w="2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6,096.5</w:t>
            </w:r>
          </w:p>
        </w:tc>
        <w:tc>
          <w:tcPr>
            <w:tcW w:w="0" w:type="dxa"/>
            <w:vAlign w:val="bottom"/>
          </w:tcPr>
          <w:p>
            <w:pPr>
              <w:spacing w:after="0"/>
              <w:rPr>
                <w:sz w:val="1"/>
                <w:szCs w:val="1"/>
                <w:color w:val="auto"/>
              </w:rPr>
            </w:pP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Total current liabilities</w:t>
            </w:r>
          </w:p>
        </w:tc>
        <w:tc>
          <w:tcPr>
            <w:tcW w:w="26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3,760.9</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10,415.2</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Long-term debt, less current portion (Note 13)</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2,180.2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2,835.5</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Operating lease liabilities, less current portion</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658.0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632.8</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Financing lease liabilities, less current portion</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Deferred income taxes</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80.5</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79.3</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Accrued pension and other post-retirement benefits, less current portion</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239.5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268.4</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Derivative financial instruments (Note 19)</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Other liabilities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114.4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103.3</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Non-current liabilities of discontinued operations</w:t>
            </w:r>
          </w:p>
        </w:tc>
        <w:tc>
          <w:tcPr>
            <w:tcW w:w="2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1,081.3</w:t>
            </w:r>
          </w:p>
        </w:tc>
        <w:tc>
          <w:tcPr>
            <w:tcW w:w="0" w:type="dxa"/>
            <w:vAlign w:val="bottom"/>
          </w:tcPr>
          <w:p>
            <w:pPr>
              <w:spacing w:after="0"/>
              <w:rPr>
                <w:sz w:val="1"/>
                <w:szCs w:val="1"/>
                <w:color w:val="auto"/>
              </w:rPr>
            </w:pPr>
          </w:p>
        </w:tc>
      </w:tr>
      <w:tr>
        <w:trPr>
          <w:trHeight w:val="134"/>
        </w:trPr>
        <w:tc>
          <w:tcPr>
            <w:tcW w:w="8480" w:type="dxa"/>
            <w:vAlign w:val="bottom"/>
          </w:tcPr>
          <w:p>
            <w:pPr>
              <w:ind w:left="480"/>
              <w:spacing w:after="0"/>
              <w:rPr>
                <w:sz w:val="20"/>
                <w:szCs w:val="20"/>
                <w:color w:val="auto"/>
              </w:rPr>
            </w:pPr>
            <w:r>
              <w:rPr>
                <w:rFonts w:ascii="Arial" w:cs="Arial" w:eastAsia="Arial" w:hAnsi="Arial"/>
                <w:sz w:val="11"/>
                <w:szCs w:val="11"/>
                <w:color w:val="auto"/>
              </w:rPr>
              <w:t>Total liabilities</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7,098.6</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15,434.6</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Commitments and contingent liabilities (Note 17)</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80" w:type="dxa"/>
            <w:vAlign w:val="bottom"/>
          </w:tcPr>
          <w:p>
            <w:pPr>
              <w:ind w:left="20"/>
              <w:spacing w:after="0"/>
              <w:rPr>
                <w:sz w:val="20"/>
                <w:szCs w:val="20"/>
                <w:color w:val="auto"/>
              </w:rPr>
            </w:pPr>
            <w:r>
              <w:rPr>
                <w:rFonts w:ascii="Arial" w:cs="Arial" w:eastAsia="Arial" w:hAnsi="Arial"/>
                <w:sz w:val="11"/>
                <w:szCs w:val="11"/>
                <w:i w:val="1"/>
                <w:iCs w:val="1"/>
                <w:color w:val="auto"/>
              </w:rPr>
              <w:t>Mezzanine equity</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Redeemable non-controlling interest (Note 20)</w:t>
            </w:r>
          </w:p>
        </w:tc>
        <w:tc>
          <w:tcPr>
            <w:tcW w:w="2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43.7</w:t>
            </w:r>
          </w:p>
        </w:tc>
        <w:tc>
          <w:tcPr>
            <w:tcW w:w="0" w:type="dxa"/>
            <w:vAlign w:val="bottom"/>
          </w:tcPr>
          <w:p>
            <w:pPr>
              <w:spacing w:after="0"/>
              <w:rPr>
                <w:sz w:val="1"/>
                <w:szCs w:val="1"/>
                <w:color w:val="auto"/>
              </w:rPr>
            </w:pPr>
          </w:p>
        </w:tc>
      </w:tr>
      <w:tr>
        <w:trPr>
          <w:trHeight w:val="120"/>
        </w:trPr>
        <w:tc>
          <w:tcPr>
            <w:tcW w:w="8480" w:type="dxa"/>
            <w:vAlign w:val="bottom"/>
          </w:tcPr>
          <w:p>
            <w:pPr>
              <w:ind w:left="20"/>
              <w:spacing w:after="0" w:line="120" w:lineRule="exact"/>
              <w:rPr>
                <w:sz w:val="20"/>
                <w:szCs w:val="20"/>
                <w:color w:val="auto"/>
              </w:rPr>
            </w:pPr>
            <w:r>
              <w:rPr>
                <w:rFonts w:ascii="Arial" w:cs="Arial" w:eastAsia="Arial" w:hAnsi="Arial"/>
                <w:sz w:val="11"/>
                <w:szCs w:val="11"/>
                <w:i w:val="1"/>
                <w:iCs w:val="1"/>
                <w:color w:val="auto"/>
              </w:rPr>
              <w:t>Stockholders’ equity (Note 14)</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Ordinary shares, $1.00 par value; 618.3 shares authorized in 2021 and 2020; 450.6 shares and 449.5 shares issued and outstanding in 2021 and 2020, respectively</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450.6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449.5</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Capital in excess of par value of ordinary shares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9,144.7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10,242.4</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Accumulated deficit</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(4,714.0)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(4,915.2)</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Accumulated other comprehensive loss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(1,294.9)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(1,622.5)</w:t>
            </w:r>
          </w:p>
        </w:tc>
        <w:tc>
          <w:tcPr>
            <w:tcW w:w="0" w:type="dxa"/>
            <w:vAlign w:val="bottom"/>
          </w:tcPr>
          <w:p>
            <w:pPr>
              <w:spacing w:after="0"/>
              <w:rPr>
                <w:sz w:val="1"/>
                <w:szCs w:val="1"/>
                <w:color w:val="auto"/>
              </w:rPr>
            </w:pP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Total TechnipFMC plc stockholders’ equity</w:t>
            </w:r>
          </w:p>
        </w:tc>
        <w:tc>
          <w:tcPr>
            <w:tcW w:w="26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3,586.4</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4,154.2</w:t>
            </w:r>
          </w:p>
        </w:tc>
        <w:tc>
          <w:tcPr>
            <w:tcW w:w="0" w:type="dxa"/>
            <w:vAlign w:val="bottom"/>
          </w:tcPr>
          <w:p>
            <w:pPr>
              <w:spacing w:after="0"/>
              <w:rPr>
                <w:sz w:val="1"/>
                <w:szCs w:val="1"/>
                <w:color w:val="auto"/>
              </w:rPr>
            </w:pPr>
          </w:p>
        </w:tc>
      </w:tr>
      <w:tr>
        <w:trPr>
          <w:trHeight w:val="140"/>
        </w:trPr>
        <w:tc>
          <w:tcPr>
            <w:tcW w:w="8480" w:type="dxa"/>
            <w:vAlign w:val="bottom"/>
          </w:tcPr>
          <w:p>
            <w:pPr>
              <w:ind w:left="220"/>
              <w:spacing w:after="0"/>
              <w:rPr>
                <w:sz w:val="20"/>
                <w:szCs w:val="20"/>
                <w:color w:val="auto"/>
              </w:rPr>
            </w:pPr>
            <w:r>
              <w:rPr>
                <w:rFonts w:ascii="Arial" w:cs="Arial" w:eastAsia="Arial" w:hAnsi="Arial"/>
                <w:sz w:val="11"/>
                <w:szCs w:val="11"/>
                <w:color w:val="auto"/>
              </w:rPr>
              <w:t>Non-controlling interests</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42.9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Non-controlling interests of discontinued operations</w:t>
            </w:r>
          </w:p>
        </w:tc>
        <w:tc>
          <w:tcPr>
            <w:tcW w:w="2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33"/>
        </w:trPr>
        <w:tc>
          <w:tcPr>
            <w:tcW w:w="8480" w:type="dxa"/>
            <w:vAlign w:val="bottom"/>
          </w:tcPr>
          <w:p>
            <w:pPr>
              <w:ind w:left="480"/>
              <w:spacing w:after="0"/>
              <w:rPr>
                <w:sz w:val="20"/>
                <w:szCs w:val="20"/>
                <w:color w:val="auto"/>
              </w:rPr>
            </w:pPr>
            <w:r>
              <w:rPr>
                <w:rFonts w:ascii="Arial" w:cs="Arial" w:eastAsia="Arial" w:hAnsi="Arial"/>
                <w:sz w:val="11"/>
                <w:szCs w:val="11"/>
                <w:color w:val="auto"/>
              </w:rPr>
              <w:t>Total equity</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3,629.3</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4,214.3</w:t>
            </w:r>
          </w:p>
        </w:tc>
        <w:tc>
          <w:tcPr>
            <w:tcW w:w="0" w:type="dxa"/>
            <w:vAlign w:val="bottom"/>
          </w:tcPr>
          <w:p>
            <w:pPr>
              <w:spacing w:after="0"/>
              <w:rPr>
                <w:sz w:val="1"/>
                <w:szCs w:val="1"/>
                <w:color w:val="auto"/>
              </w:rPr>
            </w:pPr>
          </w:p>
        </w:tc>
      </w:tr>
      <w:tr>
        <w:trPr>
          <w:trHeight w:val="22"/>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equity</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10,727.9</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19,692.6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TECHNIPFMC PLC AND CONSOLIDATED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497"/>
              <w:spacing w:after="0"/>
              <w:rPr>
                <w:sz w:val="20"/>
                <w:szCs w:val="20"/>
                <w:color w:val="auto"/>
              </w:rPr>
            </w:pPr>
            <w:r>
              <w:rPr>
                <w:rFonts w:ascii="Arial" w:cs="Arial" w:eastAsia="Arial" w:hAnsi="Arial"/>
                <w:sz w:val="13"/>
                <w:szCs w:val="13"/>
                <w:b w:val="1"/>
                <w:bCs w:val="1"/>
                <w:color w:val="auto"/>
              </w:rPr>
              <w:t>Six Months Ended June 30,</w:t>
            </w:r>
          </w:p>
        </w:tc>
      </w:tr>
      <w:tr>
        <w:trPr>
          <w:trHeight w:val="212"/>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2020</w:t>
            </w:r>
          </w:p>
        </w:tc>
      </w:tr>
      <w:tr>
        <w:trPr>
          <w:trHeight w:val="162"/>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Cash provided (required) by operating activities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480" w:type="dxa"/>
            <w:vAlign w:val="bottom"/>
          </w:tcPr>
          <w:p>
            <w:pPr>
              <w:ind w:left="20"/>
              <w:spacing w:after="0"/>
              <w:rPr>
                <w:sz w:val="20"/>
                <w:szCs w:val="20"/>
                <w:color w:val="auto"/>
              </w:rPr>
            </w:pPr>
            <w:r>
              <w:rPr>
                <w:rFonts w:ascii="Arial" w:cs="Arial" w:eastAsia="Arial" w:hAnsi="Arial"/>
                <w:sz w:val="13"/>
                <w:szCs w:val="13"/>
                <w:color w:val="auto"/>
              </w:rPr>
              <w:t>Net income (loss) from continuing operations</w:t>
            </w: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259.5</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(3,403.7)</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income (loss) from continuing operations to cash provided (required) by operating activities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Depreciation</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153.0</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Impairments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3,221.7</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Employee benefit plan and share-based compensation costs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Deferred income tax benefit, net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(25.7)</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from investment in Technip Energies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480" w:type="dxa"/>
            <w:vAlign w:val="bottom"/>
          </w:tcPr>
          <w:p>
            <w:pPr>
              <w:ind w:left="220"/>
              <w:spacing w:after="0"/>
              <w:rPr>
                <w:sz w:val="20"/>
                <w:szCs w:val="20"/>
                <w:color w:val="auto"/>
              </w:rPr>
            </w:pPr>
            <w:r>
              <w:rPr>
                <w:rFonts w:ascii="Arial" w:cs="Arial" w:eastAsia="Arial" w:hAnsi="Arial"/>
                <w:sz w:val="13"/>
                <w:szCs w:val="13"/>
                <w:color w:val="auto"/>
              </w:rPr>
              <w:t>Unrealized (gain) loss on derivative instruments and foreign exchange</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61.4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from equity affiliates, net of dividends received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Loss on early extinguishment of debt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r>
      <w:tr>
        <w:trPr>
          <w:trHeight w:val="170"/>
        </w:trPr>
        <w:tc>
          <w:tcPr>
            <w:tcW w:w="8480" w:type="dxa"/>
            <w:vAlign w:val="bottom"/>
          </w:tcPr>
          <w:p>
            <w:pPr>
              <w:ind w:left="20"/>
              <w:spacing w:after="0"/>
              <w:rPr>
                <w:sz w:val="20"/>
                <w:szCs w:val="20"/>
                <w:color w:val="auto"/>
              </w:rPr>
            </w:pPr>
            <w:r>
              <w:rPr>
                <w:rFonts w:ascii="Arial" w:cs="Arial" w:eastAsia="Arial" w:hAnsi="Arial"/>
                <w:sz w:val="13"/>
                <w:szCs w:val="13"/>
                <w:i w:val="1"/>
                <w:iCs w:val="1"/>
                <w:color w:val="auto"/>
              </w:rPr>
              <w:t>Changes in operating assets and liabilities, net of effects of acquisitions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Trade receivables, net and contract assets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Inventories, net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122.6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(56.8)</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 trade</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Contract liabilities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(206.9)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51.3</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 payable (receivable), net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Other current assets and liabilities, net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(181.5)</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non-current assets and liabilities, net</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1"/>
        </w:trPr>
        <w:tc>
          <w:tcPr>
            <w:tcW w:w="8480" w:type="dxa"/>
            <w:vAlign w:val="bottom"/>
          </w:tcPr>
          <w:p>
            <w:pPr>
              <w:ind w:left="20"/>
              <w:spacing w:after="0"/>
              <w:rPr>
                <w:sz w:val="20"/>
                <w:szCs w:val="20"/>
                <w:color w:val="auto"/>
              </w:rPr>
            </w:pPr>
            <w:r>
              <w:rPr>
                <w:rFonts w:ascii="Arial" w:cs="Arial" w:eastAsia="Arial" w:hAnsi="Arial"/>
                <w:sz w:val="13"/>
                <w:szCs w:val="13"/>
                <w:b w:val="1"/>
                <w:bCs w:val="1"/>
                <w:color w:val="auto"/>
              </w:rPr>
              <w:t>Cash provided (required) by operating activities from continuing operations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95.6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(415.6)</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provided by operating activities from discontinued operations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349.6</w:t>
            </w:r>
          </w:p>
        </w:tc>
      </w:tr>
      <w:tr>
        <w:trPr>
          <w:trHeight w:val="16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provided (required) by operating activities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w:t>
            </w:r>
          </w:p>
        </w:tc>
      </w:tr>
      <w:tr>
        <w:trPr>
          <w:trHeight w:val="148"/>
        </w:trPr>
        <w:tc>
          <w:tcPr>
            <w:tcW w:w="8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0"/>
        </w:trPr>
        <w:tc>
          <w:tcPr>
            <w:tcW w:w="8480" w:type="dxa"/>
            <w:vAlign w:val="bottom"/>
          </w:tcPr>
          <w:p>
            <w:pPr>
              <w:ind w:left="20"/>
              <w:spacing w:after="0"/>
              <w:rPr>
                <w:sz w:val="20"/>
                <w:szCs w:val="20"/>
                <w:color w:val="auto"/>
              </w:rPr>
            </w:pPr>
            <w:r>
              <w:rPr>
                <w:rFonts w:ascii="Arial" w:cs="Arial" w:eastAsia="Arial" w:hAnsi="Arial"/>
                <w:sz w:val="13"/>
                <w:szCs w:val="13"/>
                <w:i w:val="1"/>
                <w:iCs w:val="1"/>
                <w:color w:val="auto"/>
              </w:rPr>
              <w:t>Cash provided (required) by investing activities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Capital expenditures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w:t>
            </w:r>
          </w:p>
        </w:tc>
      </w:tr>
      <w:tr>
        <w:trPr>
          <w:trHeight w:val="167"/>
        </w:trPr>
        <w:tc>
          <w:tcPr>
            <w:tcW w:w="8480" w:type="dxa"/>
            <w:vAlign w:val="bottom"/>
          </w:tcPr>
          <w:p>
            <w:pPr>
              <w:ind w:left="220"/>
              <w:spacing w:after="0"/>
              <w:rPr>
                <w:sz w:val="20"/>
                <w:szCs w:val="20"/>
                <w:color w:val="auto"/>
              </w:rPr>
            </w:pPr>
            <w:r>
              <w:rPr>
                <w:rFonts w:ascii="Arial" w:cs="Arial" w:eastAsia="Arial" w:hAnsi="Arial"/>
                <w:sz w:val="13"/>
                <w:szCs w:val="13"/>
                <w:color w:val="auto"/>
              </w:rPr>
              <w:t>Proceeds from redemption of debt securities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to acquire debt securities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480" w:type="dxa"/>
            <w:vAlign w:val="bottom"/>
          </w:tcPr>
          <w:p>
            <w:pPr>
              <w:ind w:left="220"/>
              <w:spacing w:after="0"/>
              <w:rPr>
                <w:sz w:val="20"/>
                <w:szCs w:val="20"/>
                <w:color w:val="auto"/>
              </w:rPr>
            </w:pPr>
            <w:r>
              <w:rPr>
                <w:rFonts w:ascii="Arial" w:cs="Arial" w:eastAsia="Arial" w:hAnsi="Arial"/>
                <w:sz w:val="13"/>
                <w:szCs w:val="13"/>
                <w:color w:val="auto"/>
              </w:rPr>
              <w:t>Proceeds from sales of assets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88.7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25.0</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sale of investment in Technip Energies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Proceeds from repayment of advances to joint venture</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61"/>
        </w:trPr>
        <w:tc>
          <w:tcPr>
            <w:tcW w:w="8480" w:type="dxa"/>
            <w:vAlign w:val="bottom"/>
          </w:tcPr>
          <w:p>
            <w:pPr>
              <w:ind w:left="20"/>
              <w:spacing w:after="0"/>
              <w:rPr>
                <w:sz w:val="20"/>
                <w:szCs w:val="20"/>
                <w:color w:val="auto"/>
              </w:rPr>
            </w:pPr>
            <w:r>
              <w:rPr>
                <w:rFonts w:ascii="Arial" w:cs="Arial" w:eastAsia="Arial" w:hAnsi="Arial"/>
                <w:sz w:val="13"/>
                <w:szCs w:val="13"/>
                <w:b w:val="1"/>
                <w:bCs w:val="1"/>
                <w:color w:val="auto"/>
              </w:rPr>
              <w:t>Cash provided (required) by investing activities from continuing operations</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470.5</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(114.9)</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required by investing activities from discontinued operations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r>
      <w:tr>
        <w:trPr>
          <w:trHeight w:val="16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provided (required) by investing activities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(137.3)</w:t>
            </w:r>
          </w:p>
        </w:tc>
      </w:tr>
      <w:tr>
        <w:trPr>
          <w:trHeight w:val="149"/>
        </w:trPr>
        <w:tc>
          <w:tcPr>
            <w:tcW w:w="8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0"/>
        </w:trPr>
        <w:tc>
          <w:tcPr>
            <w:tcW w:w="8480" w:type="dxa"/>
            <w:vAlign w:val="bottom"/>
          </w:tcPr>
          <w:p>
            <w:pPr>
              <w:ind w:left="20"/>
              <w:spacing w:after="0"/>
              <w:rPr>
                <w:sz w:val="20"/>
                <w:szCs w:val="20"/>
                <w:color w:val="auto"/>
              </w:rPr>
            </w:pPr>
            <w:r>
              <w:rPr>
                <w:rFonts w:ascii="Arial" w:cs="Arial" w:eastAsia="Arial" w:hAnsi="Arial"/>
                <w:sz w:val="13"/>
                <w:szCs w:val="13"/>
                <w:i w:val="1"/>
                <w:iCs w:val="1"/>
                <w:color w:val="auto"/>
              </w:rPr>
              <w:t>Cash provided (required) by financing activities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increase in short-term debt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Net decrease in commercial paper</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(974.3)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(39.1)</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issuance of long-term debt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Repayments of long-term debt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(1,065.8)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for debt issuance costs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480" w:type="dxa"/>
            <w:vAlign w:val="bottom"/>
          </w:tcPr>
          <w:p>
            <w:pPr>
              <w:ind w:left="220"/>
              <w:spacing w:after="0"/>
              <w:rPr>
                <w:sz w:val="20"/>
                <w:szCs w:val="20"/>
                <w:color w:val="auto"/>
              </w:rPr>
            </w:pPr>
            <w:r>
              <w:rPr>
                <w:rFonts w:ascii="Arial" w:cs="Arial" w:eastAsia="Arial" w:hAnsi="Arial"/>
                <w:sz w:val="13"/>
                <w:szCs w:val="13"/>
                <w:color w:val="auto"/>
              </w:rPr>
              <w:t>Dividends paid</w:t>
            </w:r>
          </w:p>
        </w:tc>
        <w:tc>
          <w:tcPr>
            <w:tcW w:w="3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(59.2)</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related to taxes withheld on share-based compensation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r>
      <w:tr>
        <w:trPr>
          <w:trHeight w:val="175"/>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provided (required) by financing activities from continuing operations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r>
      <w:tr>
        <w:trPr>
          <w:trHeight w:val="172"/>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required by financing activities from discontinued operations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(327.2)</w:t>
            </w:r>
          </w:p>
        </w:tc>
      </w:tr>
      <w:tr>
        <w:trPr>
          <w:trHeight w:val="173"/>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required by financing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(244.3)</w:t>
            </w:r>
          </w:p>
        </w:tc>
      </w:tr>
      <w:tr>
        <w:trPr>
          <w:trHeight w:val="161"/>
        </w:trPr>
        <w:tc>
          <w:tcPr>
            <w:tcW w:w="8480" w:type="dxa"/>
            <w:vAlign w:val="bottom"/>
          </w:tcPr>
          <w:p>
            <w:pPr>
              <w:ind w:left="220"/>
              <w:spacing w:after="0"/>
              <w:rPr>
                <w:sz w:val="20"/>
                <w:szCs w:val="20"/>
                <w:color w:val="auto"/>
              </w:rPr>
            </w:pPr>
            <w:r>
              <w:rPr>
                <w:rFonts w:ascii="Arial" w:cs="Arial" w:eastAsia="Arial" w:hAnsi="Arial"/>
                <w:sz w:val="13"/>
                <w:szCs w:val="13"/>
                <w:color w:val="auto"/>
              </w:rPr>
              <w:t>Effect of changes in foreign exchange rates on cash and cash equivalents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(42.0)</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 in cash and cash equivalents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(489.6)</w:t>
            </w:r>
          </w:p>
        </w:tc>
      </w:tr>
      <w:tr>
        <w:trPr>
          <w:trHeight w:val="16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1,563.1</w:t>
            </w:r>
          </w:p>
        </w:tc>
      </w:tr>
      <w:tr>
        <w:trPr>
          <w:trHeight w:val="20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854.9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7" w:name="page8"/>
    <w:bookmarkEnd w:id="7"/>
    <w:p>
      <w:pPr>
        <w:spacing w:after="0" w:line="54" w:lineRule="exact"/>
        <w:rPr>
          <w:sz w:val="20"/>
          <w:szCs w:val="20"/>
          <w:color w:val="auto"/>
        </w:rPr>
      </w:pPr>
    </w:p>
    <w:p>
      <w:pPr>
        <w:jc w:val="center"/>
        <w:ind w:left="340" w:right="1160"/>
        <w:spacing w:after="0" w:line="268"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THREE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Ordinary</w:t>
            </w:r>
          </w:p>
        </w:tc>
        <w:tc>
          <w:tcPr>
            <w:tcW w:w="1340" w:type="dxa"/>
            <w:vAlign w:val="bottom"/>
            <w:gridSpan w:val="3"/>
          </w:tcPr>
          <w:p>
            <w:pPr>
              <w:ind w:left="20"/>
              <w:spacing w:after="0"/>
              <w:rPr>
                <w:sz w:val="20"/>
                <w:szCs w:val="20"/>
                <w:color w:val="auto"/>
              </w:rPr>
            </w:pPr>
            <w:r>
              <w:rPr>
                <w:rFonts w:ascii="Arial" w:cs="Arial" w:eastAsia="Arial" w:hAnsi="Arial"/>
                <w:sz w:val="13"/>
                <w:szCs w:val="13"/>
                <w:b w:val="1"/>
                <w:bCs w:val="1"/>
                <w:color w:val="auto"/>
              </w:rPr>
              <w:t>Capital in Excess of</w:t>
            </w:r>
          </w:p>
        </w:tc>
        <w:tc>
          <w:tcPr>
            <w:tcW w:w="14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4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6"/>
              </w:rPr>
              <w:t>Total Stockholders’</w:t>
            </w:r>
          </w:p>
        </w:tc>
        <w:tc>
          <w:tcPr>
            <w:tcW w:w="0" w:type="dxa"/>
            <w:vAlign w:val="bottom"/>
          </w:tcPr>
          <w:p>
            <w:pPr>
              <w:spacing w:after="0"/>
              <w:rPr>
                <w:sz w:val="1"/>
                <w:szCs w:val="1"/>
                <w:color w:val="auto"/>
              </w:rPr>
            </w:pPr>
          </w:p>
        </w:tc>
      </w:tr>
      <w:tr>
        <w:trPr>
          <w:trHeight w:val="122"/>
        </w:trPr>
        <w:tc>
          <w:tcPr>
            <w:tcW w:w="38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Par Value of</w:t>
            </w: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Ordinary Shares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24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10,196.8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(4,887.0)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(1,701.7)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4,084.8</w:t>
            </w:r>
          </w:p>
        </w:tc>
        <w:tc>
          <w:tcPr>
            <w:tcW w:w="0" w:type="dxa"/>
            <w:vAlign w:val="bottom"/>
          </w:tcPr>
          <w:p>
            <w:pPr>
              <w:spacing w:after="0"/>
              <w:rPr>
                <w:sz w:val="1"/>
                <w:szCs w:val="1"/>
                <w:color w:val="auto"/>
              </w:rPr>
            </w:pPr>
          </w:p>
        </w:tc>
      </w:tr>
      <w:tr>
        <w:trPr>
          <w:trHeight w:val="168"/>
        </w:trPr>
        <w:tc>
          <w:tcPr>
            <w:tcW w:w="382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0" w:type="dxa"/>
            <w:vAlign w:val="bottom"/>
          </w:tcPr>
          <w:p>
            <w:pPr>
              <w:spacing w:after="0"/>
              <w:rPr>
                <w:sz w:val="1"/>
                <w:szCs w:val="1"/>
                <w:color w:val="auto"/>
              </w:rPr>
            </w:pPr>
          </w:p>
        </w:tc>
      </w:tr>
      <w:tr>
        <w:trPr>
          <w:trHeight w:val="168"/>
        </w:trPr>
        <w:tc>
          <w:tcPr>
            <w:tcW w:w="3820" w:type="dxa"/>
            <w:vAlign w:val="bottom"/>
          </w:tcPr>
          <w:p>
            <w:pPr>
              <w:ind w:left="140"/>
              <w:spacing w:after="0"/>
              <w:rPr>
                <w:sz w:val="20"/>
                <w:szCs w:val="20"/>
                <w:color w:val="auto"/>
              </w:rPr>
            </w:pPr>
            <w:r>
              <w:rPr>
                <w:rFonts w:ascii="Arial" w:cs="Arial" w:eastAsia="Arial" w:hAnsi="Arial"/>
                <w:sz w:val="13"/>
                <w:szCs w:val="13"/>
                <w:color w:val="auto"/>
              </w:rPr>
              <w:t>Issuance of ordinary shares</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(Note 15)</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69"/>
        </w:trPr>
        <w:tc>
          <w:tcPr>
            <w:tcW w:w="3820" w:type="dxa"/>
            <w:vAlign w:val="bottom"/>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10,213.6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4,175.6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3,695.5</w:t>
            </w:r>
          </w:p>
        </w:tc>
        <w:tc>
          <w:tcPr>
            <w:tcW w:w="0" w:type="dxa"/>
            <w:vAlign w:val="bottom"/>
          </w:tcPr>
          <w:p>
            <w:pPr>
              <w:spacing w:after="0"/>
              <w:rPr>
                <w:sz w:val="1"/>
                <w:szCs w:val="1"/>
                <w:color w:val="auto"/>
              </w:rPr>
            </w:pPr>
          </w:p>
        </w:tc>
      </w:tr>
      <w:tr>
        <w:trPr>
          <w:trHeight w:val="168"/>
        </w:trPr>
        <w:tc>
          <w:tcPr>
            <w:tcW w:w="382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(164.9)</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(loss)</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0" w:type="dxa"/>
            <w:vAlign w:val="bottom"/>
          </w:tcPr>
          <w:p>
            <w:pPr>
              <w:spacing w:after="0"/>
              <w:rPr>
                <w:sz w:val="1"/>
                <w:szCs w:val="1"/>
                <w:color w:val="auto"/>
              </w:rPr>
            </w:pPr>
          </w:p>
        </w:tc>
      </w:tr>
      <w:tr>
        <w:trPr>
          <w:trHeight w:val="167"/>
        </w:trPr>
        <w:tc>
          <w:tcPr>
            <w:tcW w:w="3820" w:type="dxa"/>
            <w:vAlign w:val="bottom"/>
          </w:tcPr>
          <w:p>
            <w:pPr>
              <w:ind w:left="140"/>
              <w:spacing w:after="0"/>
              <w:rPr>
                <w:sz w:val="20"/>
                <w:szCs w:val="20"/>
                <w:color w:val="auto"/>
              </w:rPr>
            </w:pPr>
            <w:r>
              <w:rPr>
                <w:rFonts w:ascii="Arial" w:cs="Arial" w:eastAsia="Arial" w:hAnsi="Arial"/>
                <w:sz w:val="13"/>
                <w:szCs w:val="13"/>
                <w:color w:val="auto"/>
              </w:rPr>
              <w:t>Issuance of ordinary shares</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(Note 15)</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8"/>
        </w:trPr>
        <w:tc>
          <w:tcPr>
            <w:tcW w:w="3820" w:type="dxa"/>
            <w:vAlign w:val="bottom"/>
          </w:tcPr>
          <w:p>
            <w:pPr>
              <w:ind w:left="140"/>
              <w:spacing w:after="0"/>
              <w:rPr>
                <w:sz w:val="20"/>
                <w:szCs w:val="20"/>
                <w:color w:val="auto"/>
              </w:rPr>
            </w:pPr>
            <w:r>
              <w:rPr>
                <w:rFonts w:ascii="Arial" w:cs="Arial" w:eastAsia="Arial" w:hAnsi="Arial"/>
                <w:sz w:val="13"/>
                <w:szCs w:val="13"/>
                <w:color w:val="auto"/>
              </w:rPr>
              <w:t>Spin-off of Technip Energies</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450.6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9,144.7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(4,714.0)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(1,294.9)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3,629.3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left="340" w:right="1160"/>
        <w:spacing w:after="0" w:line="268"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SIX MONTHS ENDED JUNE 30, 2021 and 2020</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Capital in</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Other</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Ordinary</w:t>
            </w:r>
          </w:p>
        </w:tc>
        <w:tc>
          <w:tcPr>
            <w:tcW w:w="15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Excess of Par</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Accumulated</w:t>
            </w:r>
          </w:p>
        </w:tc>
        <w:tc>
          <w:tcPr>
            <w:tcW w:w="15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Non-controlling</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060" w:type="dxa"/>
            <w:vAlign w:val="bottom"/>
            <w:gridSpan w:val="2"/>
            <w:vMerge w:val="continue"/>
          </w:tcPr>
          <w:p>
            <w:pPr>
              <w:spacing w:after="0"/>
              <w:rPr>
                <w:sz w:val="10"/>
                <w:szCs w:val="10"/>
                <w:color w:val="auto"/>
              </w:rPr>
            </w:pPr>
          </w:p>
        </w:tc>
        <w:tc>
          <w:tcPr>
            <w:tcW w:w="15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Value of</w:t>
            </w:r>
          </w:p>
        </w:tc>
        <w:tc>
          <w:tcPr>
            <w:tcW w:w="1340" w:type="dxa"/>
            <w:vAlign w:val="bottom"/>
            <w:gridSpan w:val="2"/>
            <w:vMerge w:val="continue"/>
          </w:tcPr>
          <w:p>
            <w:pPr>
              <w:spacing w:after="0"/>
              <w:rPr>
                <w:sz w:val="10"/>
                <w:szCs w:val="10"/>
                <w:color w:val="auto"/>
              </w:rPr>
            </w:pPr>
          </w:p>
        </w:tc>
        <w:tc>
          <w:tcPr>
            <w:tcW w:w="15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Income</w:t>
            </w:r>
          </w:p>
        </w:tc>
        <w:tc>
          <w:tcPr>
            <w:tcW w:w="1100" w:type="dxa"/>
            <w:vAlign w:val="bottom"/>
            <w:gridSpan w:val="2"/>
            <w:vMerge w:val="continue"/>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Ordinary Shares</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Deficit</w:t>
            </w: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(Loss)</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Interest</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10,182.8</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7,688.1</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Adoption of accounting standards (Note 3)</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(3,244.4)</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(3,230.4)</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(238.3)</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(246.2)</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ordinary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Cash dividends declared ($0.13 per share)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(Note 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69"/>
        </w:trPr>
        <w:tc>
          <w:tcPr>
            <w:tcW w:w="3480" w:type="dxa"/>
            <w:vAlign w:val="bottom"/>
          </w:tcPr>
          <w:p>
            <w:pPr>
              <w:ind w:left="140"/>
              <w:spacing w:after="0"/>
              <w:rPr>
                <w:sz w:val="20"/>
                <w:szCs w:val="20"/>
                <w:color w:val="auto"/>
              </w:rPr>
            </w:pPr>
            <w:r>
              <w:rPr>
                <w:rFonts w:ascii="Arial" w:cs="Arial" w:eastAsia="Arial" w:hAnsi="Arial"/>
                <w:sz w:val="13"/>
                <w:szCs w:val="13"/>
                <w:color w:val="auto"/>
              </w:rPr>
              <w:t>Other</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1"/>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10,213.6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4,175.6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449.5</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10,242.4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(4,915.2)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4,214.3</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207.0</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Issuance of ordinary shares</w:t>
            </w:r>
          </w:p>
        </w:tc>
        <w:tc>
          <w:tcPr>
            <w:tcW w:w="9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(Note 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Spin-off of Technip Energies (Note 2)</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(1,108.4)</w:t>
            </w:r>
          </w:p>
        </w:tc>
        <w:tc>
          <w:tcPr>
            <w:tcW w:w="1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271.0</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(857.3)</w:t>
            </w:r>
          </w:p>
        </w:tc>
        <w:tc>
          <w:tcPr>
            <w:tcW w:w="0" w:type="dxa"/>
            <w:vAlign w:val="bottom"/>
          </w:tcPr>
          <w:p>
            <w:pPr>
              <w:spacing w:after="0"/>
              <w:rPr>
                <w:sz w:val="1"/>
                <w:szCs w:val="1"/>
                <w:color w:val="auto"/>
              </w:rPr>
            </w:pPr>
          </w:p>
        </w:tc>
      </w:tr>
      <w:tr>
        <w:trPr>
          <w:trHeight w:val="177"/>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450.6</w:t>
            </w:r>
          </w:p>
        </w:tc>
        <w:tc>
          <w:tcPr>
            <w:tcW w:w="10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9,144.7</w:t>
            </w:r>
          </w:p>
        </w:tc>
        <w:tc>
          <w:tcPr>
            <w:tcW w:w="1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(4,714.0)</w:t>
            </w:r>
          </w:p>
        </w:tc>
        <w:tc>
          <w:tcPr>
            <w:tcW w:w="10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(1,294.9)</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3,629.3</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the “Company,” “we,” “us,” or “our”) have been prepared in accordance with United States generally accepted accounting principles (“GAAP”) and the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2020.</w:t>
      </w:r>
    </w:p>
    <w:p>
      <w:pPr>
        <w:spacing w:after="0" w:line="154"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w:t>
      </w:r>
    </w:p>
    <w:p>
      <w:pPr>
        <w:spacing w:after="0" w:line="19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 February 16, 2021, we completed our separation into two independent publicly traded companies: TechnipFMC, a fully integrated technology and service provider, and Technip Energies, a leading engineering and technology player (“Technip Energies”). The transaction was structured as a spin-off , which occurred by way of a pro rata dividend (the “Distribution”) to our shareholders of 50.1% of the outstanding shares in Technip Energies N.V. Each of our shareholders received one ordinary share of Technip Energies N.V. for every five ordinary shares of TechnipFMC held at 5:00 p.m., Eastern Standard time, on the record date, February 17, 2021. Technip Energies N.V. is now an independent public company and its shares trade under the ticker symbol “TE” on the Euronext Paris Stock Exchange.</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with the Spin-off, TechnipFMC and Technip Energies entered into a separation and distribution agreement, as well as various other agreements, including among others a tax matters agreement, an employee matters agreement and a transition services agreement and certain agreements relating to intellectual property. These agreements provide for the allocation between TechnipFMC and Technip Energies of assets, employees, taxes, liabilities and obligations attributable to periods prior to, at and after the Spin-off.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Spin-off represented a strategic shift that will have a major impact to our operations and consolidated financial statements. Accordingly, historical results of Technip Energies prior to the Distribution on February 16, 2021 have been presented as discontinued operations in our condensed consolidated statements of income, condensed consolidated balance sheets and condensed consolidated statements of cash flows for the three and six months ended June 30, 2021 and 2020. Our condensed consolidated statements of income, condensed consolidated balance sheets and condensed consolidated statements of cash flows and notes to the condensed consolidated financial statements have been updated to reflect continuing operations only.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income from discontinued operations,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1,538.3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3,086.0</w:t>
            </w:r>
          </w:p>
        </w:tc>
      </w:tr>
      <w:tr>
        <w:trPr>
          <w:trHeight w:val="189"/>
        </w:trPr>
        <w:tc>
          <w:tcPr>
            <w:tcW w:w="5240" w:type="dxa"/>
            <w:vAlign w:val="bottom"/>
          </w:tcPr>
          <w:p>
            <w:pPr>
              <w:ind w:left="2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1,317.2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2,759.6</w:t>
            </w:r>
          </w:p>
        </w:tc>
      </w:tr>
      <w:tr>
        <w:trPr>
          <w:trHeight w:val="189"/>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and interest expense, net</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r>
      <w:tr>
        <w:trPr>
          <w:trHeight w:val="183"/>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Income (loss) from discontinued operations before income taxes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181.2</w:t>
            </w:r>
          </w:p>
        </w:tc>
        <w:tc>
          <w:tcPr>
            <w:tcW w:w="8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224.3</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discontinued operations, net of income taxes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of discontinued operations are summarized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69"/>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3,538.6</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 receivables, net of allowances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1,302.1</w:t>
            </w: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Contract assets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380.8</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503.6</w:t>
            </w:r>
          </w:p>
        </w:tc>
      </w:tr>
      <w:tr>
        <w:trPr>
          <w:trHeight w:val="183"/>
        </w:trPr>
        <w:tc>
          <w:tcPr>
            <w:tcW w:w="9800" w:type="dxa"/>
            <w:vAlign w:val="bottom"/>
          </w:tcPr>
          <w:p>
            <w:pPr>
              <w:ind w:left="240"/>
              <w:spacing w:after="0"/>
              <w:rPr>
                <w:sz w:val="20"/>
                <w:szCs w:val="20"/>
                <w:color w:val="auto"/>
              </w:rPr>
            </w:pPr>
            <w:r>
              <w:rPr>
                <w:rFonts w:ascii="Arial" w:cs="Arial" w:eastAsia="Arial" w:hAnsi="Arial"/>
                <w:sz w:val="14"/>
                <w:szCs w:val="14"/>
                <w:color w:val="auto"/>
              </w:rPr>
              <w:t>Total current assets of discontinued operations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5,725.1</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 of accumulated depreciation</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2,512.5</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665.4</w:t>
            </w:r>
          </w:p>
        </w:tc>
      </w:tr>
      <w:tr>
        <w:trPr>
          <w:trHeight w:val="183"/>
        </w:trPr>
        <w:tc>
          <w:tcPr>
            <w:tcW w:w="98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non-current assets of discontinued operations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3,283.5</w:t>
            </w:r>
          </w:p>
        </w:tc>
      </w:tr>
      <w:tr>
        <w:trPr>
          <w:trHeight w:val="20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 of discontinued operations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9,008.6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Liabilities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Accounts payable, trade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1,539.5</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Contract liabilities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3,689.3</w:t>
            </w:r>
          </w:p>
        </w:tc>
      </w:tr>
      <w:tr>
        <w:trPr>
          <w:trHeight w:val="18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867.7</w:t>
            </w:r>
          </w:p>
        </w:tc>
      </w:tr>
      <w:tr>
        <w:trPr>
          <w:trHeight w:val="183"/>
        </w:trPr>
        <w:tc>
          <w:tcPr>
            <w:tcW w:w="9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current liabilities of discontinued operations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6,096.5</w:t>
            </w:r>
          </w:p>
        </w:tc>
      </w:tr>
      <w:tr>
        <w:trPr>
          <w:trHeight w:val="189"/>
        </w:trPr>
        <w:tc>
          <w:tcPr>
            <w:tcW w:w="9800" w:type="dxa"/>
            <w:vAlign w:val="bottom"/>
          </w:tcPr>
          <w:p>
            <w:pPr>
              <w:ind w:left="140"/>
              <w:spacing w:after="0"/>
              <w:rPr>
                <w:sz w:val="20"/>
                <w:szCs w:val="20"/>
                <w:color w:val="auto"/>
              </w:rPr>
            </w:pPr>
            <w:r>
              <w:rPr>
                <w:rFonts w:ascii="Arial" w:cs="Arial" w:eastAsia="Arial" w:hAnsi="Arial"/>
                <w:sz w:val="14"/>
                <w:szCs w:val="14"/>
                <w:color w:val="auto"/>
              </w:rPr>
              <w:t>Long-term debt, less current portion</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482.2</w:t>
            </w:r>
          </w:p>
        </w:tc>
      </w:tr>
      <w:tr>
        <w:trPr>
          <w:trHeight w:val="189"/>
        </w:trPr>
        <w:tc>
          <w:tcPr>
            <w:tcW w:w="9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r>
      <w:tr>
        <w:trPr>
          <w:trHeight w:val="18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350.9</w:t>
            </w:r>
          </w:p>
        </w:tc>
      </w:tr>
      <w:tr>
        <w:trPr>
          <w:trHeight w:val="183"/>
        </w:trPr>
        <w:tc>
          <w:tcPr>
            <w:tcW w:w="9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non-current liabilities of discontinued operations</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1,081.3</w:t>
            </w:r>
          </w:p>
        </w:tc>
      </w:tr>
      <w:tr>
        <w:trPr>
          <w:trHeight w:val="182"/>
        </w:trPr>
        <w:tc>
          <w:tcPr>
            <w:tcW w:w="9800" w:type="dxa"/>
            <w:vAlign w:val="bottom"/>
          </w:tcPr>
          <w:p>
            <w:pPr>
              <w:ind w:left="20"/>
              <w:spacing w:after="0"/>
              <w:rPr>
                <w:sz w:val="20"/>
                <w:szCs w:val="20"/>
                <w:color w:val="auto"/>
              </w:rPr>
            </w:pPr>
            <w:r>
              <w:rPr>
                <w:rFonts w:ascii="Arial" w:cs="Arial" w:eastAsia="Arial" w:hAnsi="Arial"/>
                <w:sz w:val="14"/>
                <w:szCs w:val="14"/>
                <w:b w:val="1"/>
                <w:bCs w:val="1"/>
                <w:color w:val="auto"/>
              </w:rPr>
              <w:t>Total liabilities of discontinued operations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7,177.8</w:t>
            </w:r>
          </w:p>
        </w:tc>
      </w:tr>
      <w:tr>
        <w:trPr>
          <w:trHeight w:val="21"/>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On February 16, 2021, all assets and liabilities of Technip Energies were spun-off; therefore, as of June 30, 2021, there were no assets and liabilities classified as discontinued operations.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We adopted this amendment as of January 1, 2021, which did not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1" w:name="page12"/>
    <w:bookmarkEnd w:id="11"/>
    <w:p>
      <w:pPr>
        <w:ind w:right="20"/>
        <w:spacing w:after="0" w:line="258"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 Topic 740—Simplifying the Accounting for Income Taxes.”</w:t>
      </w:r>
      <w:r>
        <w:rPr>
          <w:rFonts w:ascii="Arial" w:cs="Arial" w:eastAsia="Arial" w:hAnsi="Arial"/>
          <w:sz w:val="18"/>
          <w:szCs w:val="18"/>
          <w:color w:val="auto"/>
        </w:rPr>
        <w:t xml:space="preserve"> The amendments simplify the accounting for income taxes by removing certain exceptions to the general principles in Topic 740. This update also improves and simplifies areas of GAAP for which cost and complexity can be reduced while maintaining or improving the usefulness of the information provided to users of financial statements. We adopted this amendment as of January 1, 2021, which did not have a material impact on our condensed consolidated financial statements.</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January 2020, the FASB issued ASU No. 2020-01, “</w:t>
      </w:r>
      <w:r>
        <w:rPr>
          <w:rFonts w:ascii="Arial" w:cs="Arial" w:eastAsia="Arial" w:hAnsi="Arial"/>
          <w:sz w:val="18"/>
          <w:szCs w:val="18"/>
          <w:i w:val="1"/>
          <w:iCs w:val="1"/>
          <w:color w:val="auto"/>
        </w:rPr>
        <w:t>Investments—Equity Securities (Topic 321),” “Investments—Equity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(Topic 323),” </w:t>
      </w:r>
      <w:r>
        <w:rPr>
          <w:rFonts w:ascii="Arial" w:cs="Arial" w:eastAsia="Arial" w:hAnsi="Arial"/>
          <w:sz w:val="18"/>
          <w:szCs w:val="18"/>
          <w:color w:val="auto"/>
        </w:rPr>
        <w:t>and</w:t>
      </w:r>
      <w:r>
        <w:rPr>
          <w:rFonts w:ascii="Arial" w:cs="Arial" w:eastAsia="Arial" w:hAnsi="Arial"/>
          <w:sz w:val="18"/>
          <w:szCs w:val="18"/>
          <w:i w:val="1"/>
          <w:iCs w:val="1"/>
          <w:color w:val="auto"/>
        </w:rPr>
        <w:t xml:space="preserve"> “Derivatives and Hedging (Topic 815)—Clarifying the Interactions between Topic 321, Topic 323, and Topic 815,” </w:t>
      </w:r>
      <w:r>
        <w:rPr>
          <w:rFonts w:ascii="Arial" w:cs="Arial" w:eastAsia="Arial" w:hAnsi="Arial"/>
          <w:sz w:val="18"/>
          <w:szCs w:val="18"/>
          <w:color w:val="auto"/>
        </w:rPr>
        <w:t xml:space="preserve">and made targeted improvements to address certain aspects of accounting for financial instruments. This update clarifies that a company should consider observable transactions that require a company to either apply or discontinue the equity method of accounting under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323, Investments—Equity Method and Joint Ventures, </w:t>
      </w:r>
      <w:r>
        <w:rPr>
          <w:rFonts w:ascii="Arial" w:cs="Arial" w:eastAsia="Arial" w:hAnsi="Arial"/>
          <w:sz w:val="18"/>
          <w:szCs w:val="18"/>
          <w:color w:val="auto"/>
        </w:rPr>
        <w:t>for the purposes of applying the measurement alternative in accordance with</w:t>
      </w:r>
      <w:r>
        <w:rPr>
          <w:rFonts w:ascii="Arial" w:cs="Arial" w:eastAsia="Arial" w:hAnsi="Arial"/>
          <w:sz w:val="18"/>
          <w:szCs w:val="18"/>
          <w:i w:val="1"/>
          <w:iCs w:val="1"/>
          <w:color w:val="auto"/>
        </w:rPr>
        <w:t xml:space="preserve"> Topic 321 </w:t>
      </w:r>
      <w:r>
        <w:rPr>
          <w:rFonts w:ascii="Arial" w:cs="Arial" w:eastAsia="Arial" w:hAnsi="Arial"/>
          <w:sz w:val="18"/>
          <w:szCs w:val="18"/>
          <w:color w:val="auto"/>
        </w:rPr>
        <w:t>immediately before applying or upon discontinuing the equity method. The new ASU also clarifies that, when determining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forward contracts and purchased options, a company should not consider whether underlying securities would be accounted for under the equity method or fair value option upon settlement or exercise. We adopted this amendment as of January 1, 2021, which did not have a material impact on our condensed consolidated financial statements.</w:t>
      </w:r>
    </w:p>
    <w:p>
      <w:pPr>
        <w:spacing w:after="0" w:line="13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The amendments in this update improve consistency by amending the accounting standards codification (the “Codification”) to include all disclosure guidance in the appropriate sections and clarify the application of various provisions in the Codification by amending and adding new headings, cross-referencing to other guidance, and refining or correcting terminology. We adopted this update at January 1, 2021, which did not have a material impact on our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“Facilitation of the Effects of Reference Rate Reform on Financial Reporting (Topic 848).”</w:t>
      </w:r>
      <w:r>
        <w:rPr>
          <w:rFonts w:ascii="Arial" w:cs="Arial" w:eastAsia="Arial" w:hAnsi="Arial"/>
          <w:sz w:val="18"/>
          <w:szCs w:val="18"/>
          <w:color w:val="auto"/>
        </w:rPr>
        <w:t xml:space="preserve"> In addition, in January 2021, FASB issued ASU No. 2021-01,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which clarifies the scope of Topic 848</w:t>
      </w:r>
      <w:r>
        <w:rPr>
          <w:rFonts w:ascii="Arial" w:cs="Arial" w:eastAsia="Arial" w:hAnsi="Arial"/>
          <w:sz w:val="18"/>
          <w:szCs w:val="18"/>
          <w:i w:val="1"/>
          <w:iCs w:val="1"/>
          <w:color w:val="auto"/>
        </w:rPr>
        <w:t>.</w:t>
      </w:r>
      <w:r>
        <w:rPr>
          <w:rFonts w:ascii="Arial" w:cs="Arial" w:eastAsia="Arial" w:hAnsi="Arial"/>
          <w:sz w:val="18"/>
          <w:szCs w:val="18"/>
          <w:color w:val="auto"/>
        </w:rPr>
        <w:t xml:space="preserve"> The amendments in these updates apply only to contracts, hedging relationships, and other transactions that reference the London interbank offered rate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amendments in this update are effective as of March 12, 2020 through December 31, 2022. We are currently evaluating the impact of this ASU on our condensed consolidated financial statements.</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2020, the FASB issued ASU No. 2020-06, “</w:t>
      </w:r>
      <w:r>
        <w:rPr>
          <w:rFonts w:ascii="Arial" w:cs="Arial" w:eastAsia="Arial" w:hAnsi="Arial"/>
          <w:sz w:val="18"/>
          <w:szCs w:val="18"/>
          <w:i w:val="1"/>
          <w:iCs w:val="1"/>
          <w:color w:val="auto"/>
        </w:rPr>
        <w:t>Debt – 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 Contracts in Entity’s Own Equity (Subtopic 815 – 40).</w:t>
      </w:r>
      <w:r>
        <w:rPr>
          <w:rFonts w:ascii="Arial" w:cs="Arial" w:eastAsia="Arial" w:hAnsi="Arial"/>
          <w:sz w:val="18"/>
          <w:szCs w:val="18"/>
          <w:color w:val="auto"/>
        </w:rPr>
        <w:t>” This update simplifies the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liabilities and equity, including convertible instruments and contracts in an entity’s own equity. The amendments to this update are effective for fiscal years beginning after December 15, 2021, and interim periods within those fiscal years, with early adoption permitted no earlier than fiscal years beginning after December 15, 2020. We do not anticipate the adoption of this update to have a material impact on our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9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are disaggregated by geographic location and contract types.</w:t>
      </w:r>
    </w:p>
    <w:p>
      <w:pPr>
        <w:spacing w:after="0" w:line="17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tables present total revenue by geography for each reportable segment for the three and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Reportable Segments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6"/>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Latin America</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Africa</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0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6"/>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Latin America</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Africa</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20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2,780.8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2,631.6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tables present total revenue by contract type for each reportable segment for the three and six months ended June 30, 2021 and 2020:</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Reportable Segments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5"/>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274.5</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1,378.5</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42"/>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5"/>
        </w:trPr>
        <w:tc>
          <w:tcPr>
            <w:tcW w:w="5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Technologies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439.3</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2,780.8</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520.0</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2,631.6</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condensed consolidated balance sheets.</w:t>
      </w:r>
    </w:p>
    <w:p>
      <w:pPr>
        <w:spacing w:after="0" w:line="13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include unbilled amounts typically resulting from sales under long-term contracts when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2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June 30, 2021 and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14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52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(liabilities)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contract assets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159.2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contract assets from December 31, 2020 to June 30, 2021 was primarily due to the timing of project milestones.</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decrease in our contract liabilities was primarily due to completion of performance obligations for contracts, for which consideration was received in advance of the work performed during the period.</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Any subsequent revenue we recognize increases contract asset balance. Revenue recognized for the three months ended June 30, 2021 and 2020 that was included in the contract liabilities balance at December 31, 2020 and 2019 was $68.7 million and $211.0 million, respectively, and $197.1 million and $354.4 million for the six months ended June 30, 2021 and 2020, respectively.</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three months ended June 30, 2021 and 2020, we recognized $7.9 million and $(3.1) million, respectively, and for the six months ended June 30, 2021 and 2020, we recognized $2.6 million and $(14.9) million, respectively, related to the favorable (unfavorable) changes in estimates of contract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The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June 30, 2021, the aggregate amount of the transaction price allocated to order backlog was $7,312.0 million. We expect to recognize revenue on approximately 30.2% of the order backlog through 2021 and 69.8%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June 30,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18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1,995.6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1,968.0</w:t>
            </w:r>
          </w:p>
        </w:tc>
      </w:tr>
      <w:tr>
        <w:trPr>
          <w:trHeight w:val="18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2,207.0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3,137.0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1,968.0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BUSINESS SEGMENTS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Chairman and Chief Executive Officer, as our chief operating decision maker, reviews and evaluates operating performance to make decisions about resources to be allocated to the segment. Subsequent to the Spin-off, we now operate under two reporting segments: Subsea and Surface Technologies:</w:t>
      </w:r>
    </w:p>
    <w:p>
      <w:pPr>
        <w:spacing w:after="0" w:line="132" w:lineRule="exact"/>
        <w:rPr>
          <w:sz w:val="20"/>
          <w:szCs w:val="20"/>
          <w:color w:val="auto"/>
        </w:rPr>
      </w:pPr>
    </w:p>
    <w:p>
      <w:pPr>
        <w:ind w:left="340" w:right="280" w:hanging="332"/>
        <w:spacing w:after="0" w:line="26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designs and manufactures products and systems, and provides services used by oil and gas companies involved in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deep water exploration and production of crude oil and natural gas, while developing renewable alternatives to serve new energy industries.</w:t>
      </w:r>
    </w:p>
    <w:p>
      <w:pPr>
        <w:spacing w:after="0" w:line="121" w:lineRule="exact"/>
        <w:rPr>
          <w:rFonts w:ascii="Arial" w:cs="Arial" w:eastAsia="Arial" w:hAnsi="Arial"/>
          <w:sz w:val="18"/>
          <w:szCs w:val="18"/>
          <w:color w:val="auto"/>
        </w:rPr>
      </w:pPr>
    </w:p>
    <w:p>
      <w:pPr>
        <w:ind w:left="340" w:right="100" w:hanging="332"/>
        <w:spacing w:after="0" w:line="289" w:lineRule="auto"/>
        <w:tabs>
          <w:tab w:leader="none" w:pos="33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Surface Technologies - </w:t>
      </w:r>
      <w:r>
        <w:rPr>
          <w:rFonts w:ascii="Arial" w:cs="Arial" w:eastAsia="Arial" w:hAnsi="Arial"/>
          <w:sz w:val="17"/>
          <w:szCs w:val="17"/>
          <w:color w:val="auto"/>
        </w:rPr>
        <w:t>designs and manufactures products and systems and provides services used by oil and gas companies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land and 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122"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Segment operating profit (loss) is defined as total segment revenue less segment operating expenses. Income (loss) from equity method investments is included in computing segment operating profit. The following items have been excluded in computing segment operating profit (loss): corporate staff expense, foreign exchange gains (losses), income from investment in Technip Energies, net interest income (expense) associated with corporate debt facilities and income taxes.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(loss)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6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1,394.3</w:t>
            </w:r>
          </w:p>
        </w:tc>
        <w:tc>
          <w:tcPr>
            <w:tcW w:w="1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1,378.5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2,780.8</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2,631.6</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274.5</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571.2</w:t>
            </w:r>
          </w:p>
        </w:tc>
      </w:tr>
      <w:tr>
        <w:trPr>
          <w:trHeight w:val="183"/>
        </w:trPr>
        <w:tc>
          <w:tcPr>
            <w:tcW w:w="5200" w:type="dxa"/>
            <w:vAlign w:val="bottom"/>
          </w:tcPr>
          <w:p>
            <w:pPr>
              <w:ind w:left="36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1,668.8</w:t>
            </w:r>
          </w:p>
        </w:tc>
        <w:tc>
          <w:tcPr>
            <w:tcW w:w="12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1,620.2</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3,300.8</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3,202.8</w:t>
            </w: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Segment operating profit (loss)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(2,826.3)</w:t>
            </w: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(437.4)</w:t>
            </w:r>
          </w:p>
        </w:tc>
      </w:tr>
      <w:tr>
        <w:trPr>
          <w:trHeight w:val="183"/>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segment operating profit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(3,263.7)</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Corporate items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5200" w:type="dxa"/>
            <w:vAlign w:val="bottom"/>
          </w:tcPr>
          <w:p>
            <w:pPr>
              <w:ind w:left="20"/>
              <w:spacing w:after="0" w:line="189" w:lineRule="exact"/>
              <w:rPr>
                <w:sz w:val="20"/>
                <w:szCs w:val="20"/>
                <w:color w:val="auto"/>
              </w:rPr>
            </w:pPr>
            <w:r>
              <w:rPr>
                <w:rFonts w:ascii="Arial" w:cs="Arial" w:eastAsia="Arial" w:hAnsi="Arial"/>
                <w:sz w:val="14"/>
                <w:szCs w:val="14"/>
                <w:color w:val="auto"/>
              </w:rPr>
              <w:t>Corporate expense</w:t>
            </w:r>
            <w:r>
              <w:rPr>
                <w:rFonts w:ascii="Arial" w:cs="Arial" w:eastAsia="Arial" w:hAnsi="Arial"/>
                <w:sz w:val="18"/>
                <w:szCs w:val="18"/>
                <w:color w:val="auto"/>
                <w:vertAlign w:val="superscript"/>
              </w:rPr>
              <w:t>(a)</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expense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Loss on early extinguishment of debt</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investment in Technip Energies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exchange gains (losses)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w:t>
            </w:r>
          </w:p>
        </w:tc>
      </w:tr>
      <w:tr>
        <w:trPr>
          <w:trHeight w:val="183"/>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corporate items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r>
      <w:tr>
        <w:trPr>
          <w:trHeight w:val="183"/>
        </w:trPr>
        <w:tc>
          <w:tcPr>
            <w:tcW w:w="5200" w:type="dxa"/>
            <w:vAlign w:val="bottom"/>
          </w:tcPr>
          <w:p>
            <w:pPr>
              <w:ind w:left="680"/>
              <w:spacing w:after="0" w:line="182" w:lineRule="exact"/>
              <w:rPr>
                <w:sz w:val="20"/>
                <w:szCs w:val="20"/>
                <w:color w:val="auto"/>
              </w:rPr>
            </w:pPr>
            <w:r>
              <w:rPr>
                <w:rFonts w:ascii="Arial" w:cs="Arial" w:eastAsia="Arial" w:hAnsi="Arial"/>
                <w:sz w:val="14"/>
                <w:szCs w:val="14"/>
                <w:b w:val="1"/>
                <w:bCs w:val="1"/>
                <w:color w:val="auto"/>
              </w:rPr>
              <w:t>Income (loss) before income taxes</w:t>
            </w:r>
            <w:r>
              <w:rPr>
                <w:rFonts w:ascii="Arial" w:cs="Arial" w:eastAsia="Arial" w:hAnsi="Arial"/>
                <w:sz w:val="18"/>
                <w:szCs w:val="18"/>
                <w:b w:val="1"/>
                <w:bCs w:val="1"/>
                <w:color w:val="auto"/>
                <w:vertAlign w:val="superscript"/>
              </w:rPr>
              <w:t>(b)</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318.9</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(3,399.3)</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200" w:hanging="332"/>
        <w:spacing w:after="0" w:line="258"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share-based compensation expenses, impairment, restructuring and other expense, and other employee benefits.</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(loss) per share calculation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attributable to TechnipFMC plc</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(3,412.4)</w:t>
            </w:r>
          </w:p>
        </w:tc>
      </w:tr>
      <w:tr>
        <w:trPr>
          <w:trHeight w:val="18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from discontinued operations attributable to TechnipFMC plc</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w:t>
            </w:r>
          </w:p>
        </w:tc>
      </w:tr>
      <w:tr>
        <w:trPr>
          <w:trHeight w:val="183"/>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TechnipFMC plc</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(3,244.4)</w:t>
            </w:r>
          </w:p>
        </w:tc>
      </w:tr>
      <w:tr>
        <w:trPr>
          <w:trHeight w:val="257"/>
        </w:trPr>
        <w:tc>
          <w:tcPr>
            <w:tcW w:w="5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447.9</w:t>
            </w: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color w:val="auto"/>
              </w:rPr>
              <w:t>Dilutive effect of restricted stock units</w:t>
            </w:r>
          </w:p>
        </w:tc>
        <w:tc>
          <w:tcPr>
            <w:tcW w:w="2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Dilutive effect of performance shares</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Total shares and dilutive securities</w:t>
            </w: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448.3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454.9</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447.9</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Basic and diluted earnings (loss) per share attributable to TechnipFMC plc:</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per share from continuing operations attributable to TechnipFMC plc</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(7.62)</w:t>
            </w: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r>
      <w:tr>
        <w:trPr>
          <w:trHeight w:val="162"/>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per share from discontinued operations attributable to TechnipFMC plc</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0.38</w:t>
            </w:r>
          </w:p>
        </w:tc>
      </w:tr>
      <w:tr>
        <w:trPr>
          <w:trHeight w:val="162"/>
        </w:trPr>
        <w:tc>
          <w:tcPr>
            <w:tcW w:w="5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color w:val="auto"/>
              </w:rPr>
              <w:t>Total earnings (loss) per share attributable to TechnipFMC plc</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90"/>
        </w:trPr>
        <w:tc>
          <w:tcPr>
            <w:tcW w:w="5660" w:type="dxa"/>
            <w:vAlign w:val="bottom"/>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(7.24)</w:t>
            </w: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2021 and June 30, 2020, we incurred a loss from continuing operations; therefore, the impact of</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5.3 million and 1.2 million shares were anti-dilutive. For the six months ended June 30, 2020, we incurred a loss from continuing operations; therefore, the impact of 3.4 million shares were anti-dilutive.</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Weighted average shares of the following share-based compensation awards were excluded from the calculation of diluted weighted average number of shares, where the assumed proceeds exceed the average market price from the calculation of diluted weighted average number of shares, because their effect would be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66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88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88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 of shares)</w:t>
            </w: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 awards</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color w:val="auto"/>
              </w:rPr>
              <w:t>Restricted share units</w:t>
            </w:r>
          </w:p>
        </w:tc>
        <w:tc>
          <w:tcPr>
            <w:tcW w:w="178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shares</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5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RECEIVABLES</w:t>
      </w:r>
    </w:p>
    <w:p>
      <w:pPr>
        <w:spacing w:after="0" w:line="1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receivables portfolios using published default risk as a key credit quality indicator for our loans and receivables. Our loans receivable and security deposits were related to sales of long-lived assets or businesses, loans to related parties for capital expenditure purposes, or security deposits for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 w:name="page17"/>
    <w:bookmarkEnd w:id="16"/>
    <w:p>
      <w:pPr>
        <w:ind w:right="300"/>
        <w:spacing w:after="0" w:line="261" w:lineRule="auto"/>
        <w:rPr>
          <w:sz w:val="20"/>
          <w:szCs w:val="20"/>
          <w:color w:val="auto"/>
        </w:rPr>
      </w:pPr>
      <w:r>
        <w:rPr>
          <w:rFonts w:ascii="Arial" w:cs="Arial" w:eastAsia="Arial" w:hAnsi="Arial"/>
          <w:sz w:val="18"/>
          <w:szCs w:val="18"/>
          <w:color w:val="auto"/>
        </w:rPr>
        <w:t>We manage our held-to-maturity debt securities using published credit ratings as a key credit quality indicator as our held-to-maturity debt securities consist of government bonds.</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table below summarizes the amortized cost basis of financial assets by years of origination and credit quality. The key credit quality indicator is updated as of June 30,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Year of origination</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as of June</w:t>
            </w:r>
          </w:p>
        </w:tc>
        <w:tc>
          <w:tcPr>
            <w:tcW w:w="1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6"/>
        </w:trPr>
        <w:tc>
          <w:tcPr>
            <w:tcW w:w="66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30, 2021</w:t>
            </w:r>
          </w:p>
        </w:tc>
        <w:tc>
          <w:tcPr>
            <w:tcW w:w="1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9"/>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Loans receivables, security deposits and other</w:t>
            </w:r>
          </w:p>
        </w:tc>
        <w:tc>
          <w:tcPr>
            <w:tcW w:w="1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140"/>
              <w:spacing w:after="0"/>
              <w:rPr>
                <w:sz w:val="20"/>
                <w:szCs w:val="20"/>
                <w:color w:val="auto"/>
              </w:rPr>
            </w:pPr>
            <w:r>
              <w:rPr>
                <w:rFonts w:ascii="Arial" w:cs="Arial" w:eastAsia="Arial" w:hAnsi="Arial"/>
                <w:sz w:val="14"/>
                <w:szCs w:val="14"/>
                <w:color w:val="auto"/>
              </w:rPr>
              <w:t>Moody’s rating Ba2</w:t>
            </w:r>
          </w:p>
        </w:tc>
        <w:tc>
          <w:tcPr>
            <w:tcW w:w="1420" w:type="dxa"/>
            <w:vAlign w:val="bottom"/>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78.5</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i w:val="1"/>
                <w:iCs w:val="1"/>
                <w:color w:val="auto"/>
              </w:rPr>
              <w:t>Debt securities at amortized cost</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Moody’s rating B3</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contract assets, trade receivables, loans receivable, and security deposits and other, we have elected to calculate an expected credit loss based on loss rates from historical data. We develop loss-rate statistics on the basis of the amount written-off over the life of the financial assets and contract assets and adjust these historical credit loss trends for forward-looking factors specific to the debtors and the economic environment to determine lifetime expected losses.</w:t>
      </w:r>
    </w:p>
    <w:p>
      <w:pPr>
        <w:spacing w:after="0" w:line="15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held-to-maturity debt securities at amortized cost, we evaluate whether the debt securities are considered to have low credit risk at the reporting date using available, reasonable and supportable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roll-forward of allowance for credit losses as of June 30, 2021 and 2020, respectively.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548"/>
              <w:spacing w:after="0"/>
              <w:rPr>
                <w:sz w:val="20"/>
                <w:szCs w:val="20"/>
                <w:color w:val="auto"/>
              </w:rPr>
            </w:pPr>
            <w:r>
              <w:rPr>
                <w:rFonts w:ascii="Arial" w:cs="Arial" w:eastAsia="Arial" w:hAnsi="Arial"/>
                <w:sz w:val="14"/>
                <w:szCs w:val="14"/>
                <w:b w:val="1"/>
                <w:bCs w:val="1"/>
                <w:color w:val="auto"/>
              </w:rPr>
              <w:t>Balance as of June 30, 2021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9"/>
              </w:rPr>
              <w:t>Trade</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 assets</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Security deposit</w:t>
            </w:r>
          </w:p>
        </w:tc>
        <w:tc>
          <w:tcPr>
            <w:tcW w:w="100" w:type="dxa"/>
            <w:vAlign w:val="bottom"/>
          </w:tcPr>
          <w:p>
            <w:pPr>
              <w:spacing w:after="0"/>
              <w:rPr>
                <w:sz w:val="12"/>
                <w:szCs w:val="12"/>
                <w:color w:val="auto"/>
              </w:rPr>
            </w:pPr>
          </w:p>
        </w:tc>
        <w:tc>
          <w:tcPr>
            <w:tcW w:w="12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receivables</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receivable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debt securities</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 in allowance for credit losses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center"/>
              <w:ind w:left="268"/>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center"/>
              <w:ind w:left="588"/>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2"/>
              </w:rPr>
              <w:t>0.4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Arial" w:cs="Arial" w:eastAsia="Arial" w:hAnsi="Arial"/>
                <w:sz w:val="14"/>
                <w:szCs w:val="14"/>
                <w:color w:val="auto"/>
              </w:rPr>
              <w:t>Current period provision (release) for expected credit losses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center"/>
              <w:ind w:left="268"/>
              <w:spacing w:after="0"/>
              <w:rPr>
                <w:sz w:val="20"/>
                <w:szCs w:val="20"/>
                <w:color w:val="auto"/>
              </w:rPr>
            </w:pPr>
            <w:r>
              <w:rPr>
                <w:rFonts w:ascii="Arial" w:cs="Arial" w:eastAsia="Arial" w:hAnsi="Arial"/>
                <w:sz w:val="14"/>
                <w:szCs w:val="14"/>
                <w:color w:val="auto"/>
                <w:w w:val="97"/>
              </w:rPr>
              <w:t>(0.6)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left="56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Recoveries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w w:val="97"/>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Ending balance in the allowance for credit losses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center"/>
              <w:ind w:left="26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center"/>
              <w:ind w:left="58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2"/>
              </w:rPr>
              <w:t>0.4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528"/>
              <w:spacing w:after="0"/>
              <w:rPr>
                <w:sz w:val="20"/>
                <w:szCs w:val="20"/>
                <w:color w:val="auto"/>
              </w:rPr>
            </w:pPr>
            <w:r>
              <w:rPr>
                <w:rFonts w:ascii="Arial" w:cs="Arial" w:eastAsia="Arial" w:hAnsi="Arial"/>
                <w:sz w:val="14"/>
                <w:szCs w:val="14"/>
                <w:b w:val="1"/>
                <w:bCs w:val="1"/>
                <w:color w:val="auto"/>
              </w:rPr>
              <w:t>Balance as of June 30, 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Trade</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 assets</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Security deposit</w:t>
            </w:r>
          </w:p>
        </w:tc>
        <w:tc>
          <w:tcPr>
            <w:tcW w:w="120" w:type="dxa"/>
            <w:vAlign w:val="bottom"/>
          </w:tcPr>
          <w:p>
            <w:pPr>
              <w:spacing w:after="0"/>
              <w:rPr>
                <w:sz w:val="12"/>
                <w:szCs w:val="12"/>
                <w:color w:val="auto"/>
              </w:rPr>
            </w:pPr>
          </w:p>
        </w:tc>
        <w:tc>
          <w:tcPr>
            <w:tcW w:w="12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9"/>
              </w:rPr>
              <w:t>Held-to-maturity</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receivables</w:t>
            </w: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debt securities</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 in allowance for credit losses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center"/>
              <w:ind w:left="628"/>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Arial" w:cs="Arial" w:eastAsia="Arial" w:hAnsi="Arial"/>
                <w:sz w:val="14"/>
                <w:szCs w:val="14"/>
                <w:color w:val="auto"/>
              </w:rPr>
              <w:t>Current period provision for expected credit losses</w:t>
            </w: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center"/>
              <w:ind w:left="30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left="6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Recoveries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60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Ending balance in the allowance for credit losses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center"/>
              <w:ind w:left="30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center"/>
              <w:ind w:left="6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Other than certain trade receivables due in one year or less, we do not have any financial assets that are past due or are on non-accrual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739.8</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Inventories, 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5280"/>
        <w:spacing w:after="0" w:line="467" w:lineRule="auto"/>
        <w:rPr>
          <w:sz w:val="20"/>
          <w:szCs w:val="20"/>
          <w:color w:val="auto"/>
        </w:rPr>
      </w:pPr>
      <w:r>
        <w:rPr>
          <w:rFonts w:ascii="Arial" w:cs="Arial" w:eastAsia="Arial" w:hAnsi="Arial"/>
          <w:sz w:val="18"/>
          <w:szCs w:val="18"/>
          <w:b w:val="1"/>
          <w:bCs w:val="1"/>
          <w:color w:val="auto"/>
        </w:rPr>
        <w:t xml:space="preserve">NOTE 9. OTHER CURRENT ASSETS &amp; OTHER CURRENT LIABILITIES </w:t>
      </w:r>
      <w:r>
        <w:rPr>
          <w:rFonts w:ascii="Arial" w:cs="Arial" w:eastAsia="Arial" w:hAnsi="Arial"/>
          <w:sz w:val="18"/>
          <w:szCs w:val="18"/>
          <w:color w:val="auto"/>
        </w:rPr>
        <w:t>Other current assets consisted of the following:</w:t>
      </w:r>
    </w:p>
    <w:tbl>
      <w:tblPr>
        <w:tblLayout w:type="fixed"/>
        <w:tblInd w:w="0" w:type="dxa"/>
        <w:tblCellMar>
          <w:top w:w="0" w:type="dxa"/>
          <w:left w:w="0" w:type="dxa"/>
          <w:bottom w:w="0" w:type="dxa"/>
          <w:right w:w="0" w:type="dxa"/>
        </w:tblCellMar>
      </w:tblPr>
      <w:tr>
        <w:trPr>
          <w:trHeight w:val="149"/>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 added tax receivables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260.1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Sundry receivables</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Other tax receivables</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financial assets at amortized cost</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Held-to-maturity investments</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578.7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Warranty accruals and project contingencies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Legal provisions</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131.9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 added tax and other taxes payable</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Social security liability</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accrual</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Provisions</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TIOS non-controlling interest</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10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194.8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805.7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WARRANTY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Warranty obligations are included within “Other current liabilities” in our consolidated balance sheets as of June 30, 2021 and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A reconciliation of warranty obligations for the three and six months ended June 30, 2021 and 2020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3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Warranty expenses</w:t>
            </w:r>
          </w:p>
        </w:tc>
        <w:tc>
          <w:tcPr>
            <w:tcW w:w="84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existing accruals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18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Claims paid</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104.0</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 METHOD INVESTMENTS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income from equity affiliates is included in our Subsea segment. During the three and six months ended June 30, 2021, our income from equity affiliates was $12.8 million and $20.5 million, respectively. Our income from equity affiliates during the three and six months ended June 30, 2020 was $15.7 million and $36.8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Technip Energies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discussed in Note 2, immediately following the completion of the Spin-off, we owned 49.9% of the outstanding shares of Technip Energies. On January 7, 2021, Bpifrance Participations SA (“BPI”) entered into the Share Purchase Agreement with us pursuant to which BPI agreed to purchase a portion of our retained stake in Technip Energies N.V. (the “BPI Investment”) for $200.0 million (the “Purchase Price”), subject to certain adjustments. On March 31, 2021, BPI ultimately purchased 7.5 million shares in Technip Energies from us for $100.0 million. Accordingly, on April 8, 2021, we refunded $100.0 million to BPI as a result of their revised level of investment.</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April 30, 2021, we further reduced our ownership in Technip Energies and agreed to sell Technip Energies shares, representing approximately a total of 15% of Technip Energies’ share capital, through a private placement and a concurrent sale to Technip Energies. Following the acquisition of the shares by Technip Energies we owned 55.5 million shares, representing 31.1% of the issued and outstanding shares of Technip Energies as of June 30, 2021. We do not intend to remain a long-term shareholder of Technip Energies and will exit our ownership stake in an orderly manner within a year.</w:t>
      </w:r>
    </w:p>
    <w:p>
      <w:pPr>
        <w:spacing w:after="0" w:line="15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At the Spin-off date, on initial recognition of the investment, we elected to account for our investment in Technip Energies at fair value with all subsequent changes in fair value for the investment reported in our consolidated statement of income.</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three and six months ended June 30, 2021, we recognized a $146.8 million loss and $323.3 million income related to our investment in Technip Energies, respectively. The amount recognized comprises a purchase price discount on the sales of shares and a fair value revaluation gain/(loss) of our investment. The carrying amount of the investment as of June 30, 2021 was $760.0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condensed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receivables due from the following related parties: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Equinor ASA</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Techdof Brasil AS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accounts receivable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Technip Energies and Dofcon Navegacao are equity method investments. Techdof Brasil AS is a wholly owned subsidiary of Dofcon Brasil AS, our equity method affiliate. In October 2020, we added a new member to our Board of Directors who is an executive of Equinor ASA.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consisted of payables due to the following related parties: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10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accounts payable</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Additionally, we have a note receivable from Dofcon Brasil AS for $25.1 million and $37.6 million as of June 30, 2021 and December 31, 2020, respectively. Dofcon Brasil AS is a variable interest entity and accounted for as an equity method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Revenue included amounts from the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5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Equinor ASA</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94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Techdof Brasil AS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Others</w:t>
            </w:r>
          </w:p>
        </w:tc>
        <w:tc>
          <w:tcPr>
            <w:tcW w:w="9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0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included amounts to the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5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2"/>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Magma Global Limited</w:t>
            </w:r>
          </w:p>
        </w:tc>
        <w:tc>
          <w:tcPr>
            <w:tcW w:w="96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Serimax Holdings SAS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Altus Intervention</w:t>
            </w:r>
          </w:p>
        </w:tc>
        <w:tc>
          <w:tcPr>
            <w:tcW w:w="96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9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83"/>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Total expenses</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r>
      <w:tr>
        <w:trPr>
          <w:trHeight w:val="21"/>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Serimax Holdings SAS and Magma Global Limited are equity method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1,043.7</w:t>
            </w:r>
          </w:p>
        </w:tc>
        <w:tc>
          <w:tcPr>
            <w:tcW w:w="0" w:type="dxa"/>
            <w:vAlign w:val="bottom"/>
          </w:tcPr>
          <w:p>
            <w:pPr>
              <w:spacing w:after="0"/>
              <w:rPr>
                <w:sz w:val="1"/>
                <w:szCs w:val="1"/>
                <w:color w:val="auto"/>
              </w:rPr>
            </w:pPr>
          </w:p>
        </w:tc>
      </w:tr>
      <w:tr>
        <w:trPr>
          <w:trHeight w:val="189"/>
        </w:trPr>
        <w:tc>
          <w:tcPr>
            <w:tcW w:w="8260" w:type="dxa"/>
            <w:vAlign w:val="bottom"/>
            <w:gridSpan w:val="2"/>
          </w:tcPr>
          <w:p>
            <w:pPr>
              <w:ind w:left="20"/>
              <w:spacing w:after="0"/>
              <w:rPr>
                <w:sz w:val="20"/>
                <w:szCs w:val="20"/>
                <w:color w:val="auto"/>
              </w:rPr>
            </w:pPr>
            <w:r>
              <w:rPr>
                <w:rFonts w:ascii="Arial" w:cs="Arial" w:eastAsia="Arial" w:hAnsi="Arial"/>
                <w:sz w:val="14"/>
                <w:szCs w:val="14"/>
                <w:color w:val="auto"/>
              </w:rPr>
              <w:t>Synthetic bonds due 2021</w:t>
            </w:r>
          </w:p>
        </w:tc>
        <w:tc>
          <w:tcPr>
            <w:tcW w:w="2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551.2</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3.40%</w:t>
            </w:r>
          </w:p>
        </w:tc>
        <w:tc>
          <w:tcPr>
            <w:tcW w:w="7800" w:type="dxa"/>
            <w:vAlign w:val="bottom"/>
          </w:tcPr>
          <w:p>
            <w:pPr>
              <w:ind w:left="20"/>
              <w:spacing w:after="0"/>
              <w:rPr>
                <w:sz w:val="20"/>
                <w:szCs w:val="20"/>
                <w:color w:val="auto"/>
              </w:rPr>
            </w:pPr>
            <w:r>
              <w:rPr>
                <w:rFonts w:ascii="Arial" w:cs="Arial" w:eastAsia="Arial" w:hAnsi="Arial"/>
                <w:sz w:val="14"/>
                <w:szCs w:val="14"/>
                <w:color w:val="auto"/>
              </w:rPr>
              <w:t>2012 Private placement notes due 2022</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5.75%</w:t>
            </w:r>
          </w:p>
        </w:tc>
        <w:tc>
          <w:tcPr>
            <w:tcW w:w="7800" w:type="dxa"/>
            <w:vAlign w:val="bottom"/>
          </w:tcPr>
          <w:p>
            <w:pPr>
              <w:ind w:left="20"/>
              <w:spacing w:after="0"/>
              <w:rPr>
                <w:sz w:val="20"/>
                <w:szCs w:val="20"/>
                <w:color w:val="auto"/>
              </w:rPr>
            </w:pPr>
            <w:r>
              <w:rPr>
                <w:rFonts w:ascii="Arial" w:cs="Arial" w:eastAsia="Arial" w:hAnsi="Arial"/>
                <w:sz w:val="14"/>
                <w:szCs w:val="14"/>
                <w:color w:val="auto"/>
              </w:rPr>
              <w:t>2020 Private placement notes due 2025</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6.50%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2026</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4.00%</w:t>
            </w:r>
          </w:p>
        </w:tc>
        <w:tc>
          <w:tcPr>
            <w:tcW w:w="7800" w:type="dxa"/>
            <w:vAlign w:val="bottom"/>
          </w:tcPr>
          <w:p>
            <w:pPr>
              <w:ind w:left="20"/>
              <w:spacing w:after="0"/>
              <w:rPr>
                <w:sz w:val="20"/>
                <w:szCs w:val="20"/>
                <w:color w:val="auto"/>
              </w:rPr>
            </w:pPr>
            <w:r>
              <w:rPr>
                <w:rFonts w:ascii="Arial" w:cs="Arial" w:eastAsia="Arial" w:hAnsi="Arial"/>
                <w:sz w:val="14"/>
                <w:szCs w:val="14"/>
                <w:color w:val="auto"/>
              </w:rPr>
              <w:t>2012 Private placement notes due 2027</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2032</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3.75%</w:t>
            </w:r>
          </w:p>
        </w:tc>
        <w:tc>
          <w:tcPr>
            <w:tcW w:w="7800" w:type="dxa"/>
            <w:vAlign w:val="bottom"/>
          </w:tcPr>
          <w:p>
            <w:pPr>
              <w:ind w:left="20"/>
              <w:spacing w:after="0"/>
              <w:rPr>
                <w:sz w:val="20"/>
                <w:szCs w:val="20"/>
                <w:color w:val="auto"/>
              </w:rPr>
            </w:pPr>
            <w:r>
              <w:rPr>
                <w:rFonts w:ascii="Arial" w:cs="Arial" w:eastAsia="Arial" w:hAnsi="Arial"/>
                <w:sz w:val="14"/>
                <w:szCs w:val="14"/>
                <w:color w:val="auto"/>
              </w:rPr>
              <w:t>2013 Private placement notes due 2033</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18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Bank borrowings and other</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Unamortized debt issuance costs and discounts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debt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3,460.2</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Less: current borrowings </w:t>
            </w:r>
            <w:r>
              <w:rPr>
                <w:rFonts w:ascii="Arial" w:cs="Arial" w:eastAsia="Arial" w:hAnsi="Arial"/>
                <w:sz w:val="9"/>
                <w:szCs w:val="9"/>
                <w:color w:val="auto"/>
              </w:rPr>
              <w:t>(a)</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Long-term debt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2,835.5</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 As of June 30, 2021 and December 31, 2020, current borrowings consisted primarily of bank borrowings and notes with current maturities of 12 months.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Transactions in Connection with the Spin-off</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connection with the Spin-off, we executed a series of refinancing transactions, in order to provide a capital structure with sufficient cash resources to support future operating and investment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w:t>
      </w:r>
    </w:p>
    <w:p>
      <w:pPr>
        <w:spacing w:after="0" w:line="257" w:lineRule="exact"/>
        <w:rPr>
          <w:sz w:val="20"/>
          <w:szCs w:val="20"/>
          <w:color w:val="auto"/>
        </w:rPr>
      </w:pPr>
    </w:p>
    <w:p>
      <w:pPr>
        <w:ind w:left="660" w:right="1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February 16, 2021, we entered into a credit agreement, which provides for a $1.0 billion three-year senior secured multicurrency revolving credit facility (“Revolving Credit Facility”) including a $450.0 million letter of credit subfacility;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29, 2021, we issued $1.0 billion of 6.50% senior notes due 2026 (the “2021 Notes”).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Debt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debt issuance described above along with the available cash on hand, were used to fund:</w:t>
      </w:r>
    </w:p>
    <w:p>
      <w:pPr>
        <w:spacing w:after="0" w:line="2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repayment of all $542.4 million of the outstanding Synthetic Convertible Bonds that matured in January 2021;</w:t>
      </w:r>
    </w:p>
    <w:p>
      <w:pPr>
        <w:spacing w:after="0" w:line="252" w:lineRule="exact"/>
        <w:rPr>
          <w:rFonts w:ascii="Arial" w:cs="Arial" w:eastAsia="Arial" w:hAnsi="Arial"/>
          <w:sz w:val="18"/>
          <w:szCs w:val="18"/>
          <w:color w:val="auto"/>
        </w:rPr>
      </w:pPr>
    </w:p>
    <w:p>
      <w:pPr>
        <w:jc w:val="both"/>
        <w:ind w:left="660" w:right="10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repayment of all $500.0 million aggregate principal amount of outstanding 3.45% Senior Notes due 2022. In connection with the repayment, we recorded a loss on extinguishment of debt of $23.5 million related to the difference between the amount paid and the net carrying value of the debt; and</w:t>
      </w:r>
    </w:p>
    <w:p>
      <w:pPr>
        <w:spacing w:after="0" w:line="228"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termination of the $2.5 billion senior unsecured revolving credit facility entered into on January 17, 2017; the termination of the €500.0 million Euro Facility entered into on May 19, 2020, and the termination of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1" w:name="page22"/>
    <w:bookmarkEnd w:id="21"/>
    <w:p>
      <w:pPr>
        <w:ind w:left="660" w:right="40"/>
        <w:spacing w:after="0" w:line="261" w:lineRule="auto"/>
        <w:rPr>
          <w:sz w:val="20"/>
          <w:szCs w:val="20"/>
          <w:color w:val="auto"/>
        </w:rPr>
      </w:pPr>
      <w:r>
        <w:rPr>
          <w:rFonts w:ascii="Arial" w:cs="Arial" w:eastAsia="Arial" w:hAnsi="Arial"/>
          <w:sz w:val="18"/>
          <w:szCs w:val="18"/>
          <w:color w:val="auto"/>
        </w:rPr>
        <w:t>CCFF Program entered into on May 19, 2020. In connection with the termination of these credit facilities, we repaid $830.9 million of the outstanding commercial paper borrowings.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Debt</w:t>
      </w:r>
    </w:p>
    <w:p>
      <w:pPr>
        <w:spacing w:after="0" w:line="17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On February 16, 2021, we entered into a credit agreement, which provides for a $1.0 billion three-year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multicurrency Revolving Credit Facility including a $450.0 million letter of credit subfacility. We incurred $27.9 million of debt issuance costs in connection with the Revolving Credit Facility. These debt issuance costs are deferred and are included in Other Assets in our condensed consolidated balance sheet as of June 30, 2021. The deferred debt issuance costs are amortized to interest expense over the term of the Revolving Credit Facility.</w:t>
      </w:r>
    </w:p>
    <w:p>
      <w:pPr>
        <w:spacing w:after="0" w:line="1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Availability of borrowings under the Revolving Credit Facility is reduced by the outstanding letters of credit issued against the facility. As of June 30, 2021, there was $72.9 million letters of credit outstanding and availability of borrowings under the Revolving Credit Facility was $927.1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Revolving Credit Facility bear interest at the following rates, plus an applicable margin, depending on currency:</w:t>
      </w:r>
    </w:p>
    <w:p>
      <w:pPr>
        <w:spacing w:after="0" w:line="171" w:lineRule="exact"/>
        <w:rPr>
          <w:sz w:val="20"/>
          <w:szCs w:val="20"/>
          <w:color w:val="auto"/>
        </w:rPr>
      </w:pPr>
    </w:p>
    <w:p>
      <w:pPr>
        <w:ind w:left="660" w:right="6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dollar-denominated loans bear interest, at the Company’s option, at a base rate or an adjusted rate linked to the London interbank offered rate (“Adjusted LIBOR”);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Sterling denominated loans bear interest at Adjusted LIBOR;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Euro-denominated loans bear interest on an adjusted rate linked to the Euro interbank offered rate.</w:t>
      </w:r>
    </w:p>
    <w:p>
      <w:pPr>
        <w:spacing w:after="0" w:line="200" w:lineRule="exact"/>
        <w:rPr>
          <w:sz w:val="20"/>
          <w:szCs w:val="20"/>
          <w:color w:val="auto"/>
        </w:rPr>
      </w:pPr>
    </w:p>
    <w:p>
      <w:pPr>
        <w:spacing w:after="0" w:line="21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applicable margin for borrowings under the Revolving Credit Facility ranges from 2.50% to 3.50% for eurocurrency loans and 1.50% to 2.50% for base rate loans, depending on a total leverage ratio. The Revolving Credit Facility is subject to customary representations and warranties, covenants, events of default, mandatory repayment provisions and financial covenants. As of June 30, 2021, we were in compliance with all restrictive covenants under the Revolving Credit Facility.</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2021 Notes </w:t>
      </w:r>
      <w:r>
        <w:rPr>
          <w:rFonts w:ascii="Arial" w:cs="Arial" w:eastAsia="Arial" w:hAnsi="Arial"/>
          <w:sz w:val="18"/>
          <w:szCs w:val="18"/>
          <w:color w:val="auto"/>
        </w:rPr>
        <w:t>- On January 29, 2021, we issued $1.0 billion of 6.50% senior notes due 2026. The interest on the 2021 Notes is paid semi-annually on February 1 and August 1 of each year, beginning on August 1, 2021. The 2021 Notes are senior unsecured obligations and are guaranteed on a senior unsecured basis by substantially all of our wholly-owned U.S. subsidiaries and non-U.S. subsidiaries in Brazil, the Netherlands, Norway, Singapore and the United Kingdom. We incurred $25.7 million of debt issuance costs in connection with issuance of the 2021 Notes. These debt issuance costs are deferred and are included in long-term debt in our condensed consolidated balance sheet as of June 30, 2021. The deferred debt issuance costs are amortized to interest expense over the term of the 2021 Notes, which approximates the effective interest method.</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 As of December 31, 2020, we had $ 1,043.7 million of commercial paper outstanding. Commercial paper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were issued at market interest rates. In accordance with the terms of the new Revolving Credit Facility, we do not have an ability to issue any new commercial paper notes going forward.</w:t>
      </w:r>
    </w:p>
    <w:p>
      <w:pPr>
        <w:spacing w:after="0" w:line="12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i w:val="1"/>
          <w:iCs w:val="1"/>
          <w:color w:val="auto"/>
        </w:rPr>
        <w:t xml:space="preserve">Bank borrowings - </w:t>
      </w:r>
      <w:r>
        <w:rPr>
          <w:rFonts w:ascii="Arial" w:cs="Arial" w:eastAsia="Arial" w:hAnsi="Arial"/>
          <w:sz w:val="18"/>
          <w:szCs w:val="18"/>
          <w:color w:val="auto"/>
        </w:rPr>
        <w:t>Include term loans issued in connection with financing for certain of our vessels and amounts outstanding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committed credit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14.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Defined Pension</w:t>
            </w:r>
          </w:p>
        </w:tc>
        <w:tc>
          <w:tcPr>
            <w:tcW w:w="140" w:type="dxa"/>
            <w:vAlign w:val="bottom"/>
          </w:tcPr>
          <w:p>
            <w:pPr>
              <w:spacing w:after="0"/>
              <w:rPr>
                <w:sz w:val="13"/>
                <w:szCs w:val="13"/>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1420" w:type="dxa"/>
            <w:vAlign w:val="bottom"/>
          </w:tcPr>
          <w:p>
            <w:pPr>
              <w:jc w:val="center"/>
              <w:ind w:right="92"/>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jc w:val="center"/>
              <w:ind w:right="132"/>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4"/>
              </w:rPr>
              <w:t>and Other</w:t>
            </w:r>
          </w:p>
        </w:tc>
        <w:tc>
          <w:tcPr>
            <w:tcW w:w="140" w:type="dxa"/>
            <w:vAlign w:val="bottom"/>
          </w:tcPr>
          <w:p>
            <w:pPr>
              <w:spacing w:after="0"/>
              <w:rPr>
                <w:sz w:val="10"/>
                <w:szCs w:val="10"/>
                <w:color w:val="auto"/>
              </w:rPr>
            </w:pPr>
          </w:p>
        </w:tc>
        <w:tc>
          <w:tcPr>
            <w:tcW w:w="16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420" w:type="dxa"/>
            <w:vAlign w:val="bottom"/>
          </w:tcPr>
          <w:p>
            <w:pPr>
              <w:jc w:val="center"/>
              <w:ind w:right="92"/>
              <w:spacing w:after="0" w:line="122" w:lineRule="exact"/>
              <w:rPr>
                <w:sz w:val="20"/>
                <w:szCs w:val="20"/>
                <w:color w:val="auto"/>
              </w:rPr>
            </w:pPr>
            <w:r>
              <w:rPr>
                <w:rFonts w:ascii="Arial" w:cs="Arial" w:eastAsia="Arial" w:hAnsi="Arial"/>
                <w:sz w:val="13"/>
                <w:szCs w:val="13"/>
                <w:b w:val="1"/>
                <w:bCs w:val="1"/>
                <w:color w:val="auto"/>
                <w:w w:val="95"/>
              </w:rPr>
              <w:t>Loss Attributable</w:t>
            </w:r>
          </w:p>
        </w:tc>
        <w:tc>
          <w:tcPr>
            <w:tcW w:w="0" w:type="dxa"/>
            <w:vAlign w:val="bottom"/>
          </w:tcPr>
          <w:p>
            <w:pPr>
              <w:spacing w:after="0"/>
              <w:rPr>
                <w:sz w:val="1"/>
                <w:szCs w:val="1"/>
                <w:color w:val="auto"/>
              </w:rPr>
            </w:pPr>
          </w:p>
        </w:tc>
      </w:tr>
      <w:tr>
        <w:trPr>
          <w:trHeight w:val="122"/>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Currency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7"/>
              </w:rPr>
              <w:t>Post-Retirement</w:t>
            </w:r>
          </w:p>
        </w:tc>
        <w:tc>
          <w:tcPr>
            <w:tcW w:w="140" w:type="dxa"/>
            <w:vAlign w:val="bottom"/>
          </w:tcPr>
          <w:p>
            <w:pPr>
              <w:spacing w:after="0"/>
              <w:rPr>
                <w:sz w:val="10"/>
                <w:szCs w:val="10"/>
                <w:color w:val="auto"/>
              </w:rPr>
            </w:pPr>
          </w:p>
        </w:tc>
        <w:tc>
          <w:tcPr>
            <w:tcW w:w="16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0"/>
                <w:szCs w:val="10"/>
                <w:color w:val="auto"/>
              </w:rPr>
            </w:pPr>
          </w:p>
        </w:tc>
        <w:tc>
          <w:tcPr>
            <w:tcW w:w="1420" w:type="dxa"/>
            <w:vAlign w:val="bottom"/>
          </w:tcPr>
          <w:p>
            <w:pPr>
              <w:jc w:val="center"/>
              <w:ind w:right="92"/>
              <w:spacing w:after="0" w:line="122" w:lineRule="exact"/>
              <w:rPr>
                <w:sz w:val="20"/>
                <w:szCs w:val="20"/>
                <w:color w:val="auto"/>
              </w:rPr>
            </w:pPr>
            <w:r>
              <w:rPr>
                <w:rFonts w:ascii="Arial" w:cs="Arial" w:eastAsia="Arial" w:hAnsi="Arial"/>
                <w:sz w:val="13"/>
                <w:szCs w:val="13"/>
                <w:b w:val="1"/>
                <w:bCs w:val="1"/>
                <w:color w:val="auto"/>
                <w:w w:val="95"/>
              </w:rPr>
              <w:t>to Non-Controlling</w:t>
            </w:r>
          </w:p>
        </w:tc>
        <w:tc>
          <w:tcPr>
            <w:tcW w:w="0" w:type="dxa"/>
            <w:vAlign w:val="bottom"/>
          </w:tcPr>
          <w:p>
            <w:pPr>
              <w:spacing w:after="0"/>
              <w:rPr>
                <w:sz w:val="1"/>
                <w:szCs w:val="1"/>
                <w:color w:val="auto"/>
              </w:rPr>
            </w:pPr>
          </w:p>
        </w:tc>
      </w:tr>
      <w:tr>
        <w:trPr>
          <w:trHeight w:val="176"/>
        </w:trPr>
        <w:tc>
          <w:tcPr>
            <w:tcW w:w="4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Translation</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Benefits</w:t>
            </w:r>
          </w:p>
        </w:tc>
        <w:tc>
          <w:tcPr>
            <w:tcW w:w="1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2"/>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18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3"/>
        </w:trPr>
        <w:tc>
          <w:tcPr>
            <w:tcW w:w="4040" w:type="dxa"/>
            <w:vAlign w:val="bottom"/>
          </w:tcPr>
          <w:p>
            <w:pPr>
              <w:ind w:left="140"/>
              <w:spacing w:after="0" w:line="153" w:lineRule="exact"/>
              <w:rPr>
                <w:sz w:val="20"/>
                <w:szCs w:val="20"/>
                <w:color w:val="auto"/>
              </w:rPr>
            </w:pPr>
            <w:r>
              <w:rPr>
                <w:rFonts w:ascii="Arial" w:cs="Arial" w:eastAsia="Arial" w:hAnsi="Arial"/>
                <w:sz w:val="14"/>
                <w:szCs w:val="14"/>
                <w:color w:val="auto"/>
              </w:rPr>
              <w:t>Other comprehensive income (loss) before reclassifications,</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1"/>
        </w:trPr>
        <w:tc>
          <w:tcPr>
            <w:tcW w:w="404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Reclassification adjustment for net losses included in net</w:t>
            </w: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net of tax</w:t>
            </w: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Final Spin-off of Technip Energies</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 (loss)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8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142"/>
        </w:trPr>
        <w:tc>
          <w:tcPr>
            <w:tcW w:w="30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Details about Accumulated Other</w:t>
            </w:r>
          </w:p>
        </w:tc>
        <w:tc>
          <w:tcPr>
            <w:tcW w:w="260" w:type="dxa"/>
            <w:vAlign w:val="bottom"/>
          </w:tcPr>
          <w:p>
            <w:pPr>
              <w:spacing w:after="0"/>
              <w:rPr>
                <w:sz w:val="12"/>
                <w:szCs w:val="12"/>
                <w:color w:val="auto"/>
              </w:rPr>
            </w:pPr>
          </w:p>
        </w:tc>
        <w:tc>
          <w:tcPr>
            <w:tcW w:w="3900" w:type="dxa"/>
            <w:vAlign w:val="bottom"/>
            <w:gridSpan w:val="9"/>
          </w:tcPr>
          <w:p>
            <w:pPr>
              <w:jc w:val="center"/>
              <w:ind w:left="428"/>
              <w:spacing w:after="0" w:line="142" w:lineRule="exact"/>
              <w:rPr>
                <w:sz w:val="20"/>
                <w:szCs w:val="20"/>
                <w:color w:val="auto"/>
              </w:rPr>
            </w:pPr>
            <w:r>
              <w:rPr>
                <w:rFonts w:ascii="Arial" w:cs="Arial" w:eastAsia="Arial" w:hAnsi="Arial"/>
                <w:sz w:val="14"/>
                <w:szCs w:val="14"/>
                <w:b w:val="1"/>
                <w:bCs w:val="1"/>
                <w:color w:val="auto"/>
              </w:rPr>
              <w:t>Amount Reclassified out of Accumulated 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Affected Line Item in the Condensed</w:t>
            </w:r>
          </w:p>
        </w:tc>
      </w:tr>
      <w:tr>
        <w:trPr>
          <w:trHeight w:val="176"/>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Comprehensive Income (loss) Components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Comprehensive Loss</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Statements of Income</w:t>
            </w: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Gains (losses) on hedging instruments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r>
      <w:tr>
        <w:trPr>
          <w:trHeight w:val="189"/>
        </w:trPr>
        <w:tc>
          <w:tcPr>
            <w:tcW w:w="3080" w:type="dxa"/>
            <w:vAlign w:val="bottom"/>
          </w:tcPr>
          <w:p>
            <w:pPr>
              <w:ind w:left="220"/>
              <w:spacing w:after="0"/>
              <w:rPr>
                <w:sz w:val="20"/>
                <w:szCs w:val="20"/>
                <w:color w:val="auto"/>
              </w:rPr>
            </w:pPr>
            <w:r>
              <w:rPr>
                <w:rFonts w:ascii="Arial" w:cs="Arial" w:eastAsia="Arial" w:hAnsi="Arial"/>
                <w:sz w:val="14"/>
                <w:szCs w:val="14"/>
                <w:color w:val="auto"/>
              </w:rPr>
              <w:t>Foreign exchange contracts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189"/>
        </w:trPr>
        <w:tc>
          <w:tcPr>
            <w:tcW w:w="3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r>
      <w:tr>
        <w:trPr>
          <w:trHeight w:val="189"/>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r>
      <w:tr>
        <w:trPr>
          <w:trHeight w:val="189"/>
        </w:trPr>
        <w:tc>
          <w:tcPr>
            <w:tcW w:w="30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r>
      <w:tr>
        <w:trPr>
          <w:trHeight w:val="183"/>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r>
      <w:tr>
        <w:trPr>
          <w:trHeight w:val="189"/>
        </w:trPr>
        <w:tc>
          <w:tcPr>
            <w:tcW w:w="30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r>
      <w:tr>
        <w:trPr>
          <w:trHeight w:val="183"/>
        </w:trPr>
        <w:tc>
          <w:tcPr>
            <w:tcW w:w="30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Net income (loss)</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r>
      <w:tr>
        <w:trPr>
          <w:trHeight w:val="156"/>
        </w:trPr>
        <w:tc>
          <w:tcPr>
            <w:tcW w:w="30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Pension and other post-retirement benefits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r>
      <w:tr>
        <w:trPr>
          <w:trHeight w:val="189"/>
        </w:trPr>
        <w:tc>
          <w:tcPr>
            <w:tcW w:w="3080" w:type="dxa"/>
            <w:vAlign w:val="bottom"/>
          </w:tcPr>
          <w:p>
            <w:pPr>
              <w:ind w:left="220"/>
              <w:spacing w:after="0"/>
              <w:rPr>
                <w:sz w:val="20"/>
                <w:szCs w:val="20"/>
                <w:color w:val="auto"/>
              </w:rPr>
            </w:pPr>
            <w:r>
              <w:rPr>
                <w:rFonts w:ascii="Arial" w:cs="Arial" w:eastAsia="Arial" w:hAnsi="Arial"/>
                <w:sz w:val="14"/>
                <w:szCs w:val="14"/>
                <w:color w:val="auto"/>
              </w:rPr>
              <w:t>Amortization of prior service credit (cost)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(a)</w:t>
            </w:r>
          </w:p>
        </w:tc>
      </w:tr>
      <w:tr>
        <w:trPr>
          <w:trHeight w:val="189"/>
        </w:trPr>
        <w:tc>
          <w:tcPr>
            <w:tcW w:w="3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r>
      <w:tr>
        <w:trPr>
          <w:trHeight w:val="183"/>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r>
      <w:tr>
        <w:trPr>
          <w:trHeight w:val="189"/>
        </w:trPr>
        <w:tc>
          <w:tcPr>
            <w:tcW w:w="30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r>
      <w:tr>
        <w:trPr>
          <w:trHeight w:val="183"/>
        </w:trPr>
        <w:tc>
          <w:tcPr>
            <w:tcW w:w="30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Net income (loss)</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These accumulated other comprehensive income components are included in the computation of net periodic pension cost.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Amended and Restated TechnipFMC plc Incentive Award Plan (the “Plan”), we may grant certain incentives and awards to our officers, employees, non-employee directors and consultants of the Company and its subsidiaries. Awards may include share options, share appreciation rights, performance stock units, restricted stock units, restricted shares or other awards authorized under the Plan. Under the Plan, 24.1 million ordinary shares were authorized for awards in 2017. On the record date of the Spin-off, 11.9 million shares remained available under the Plan, which were adjusted to reflect the Spin-off using an adjustment ratio, calculated as the ratio of the closing price of shares of TechnipFMC common stock on the NYSE on the date immediately prior to the Spin-off to the closing price of shares of TechnipFMC on the NYSE on the date immediately after the Spin-off. After this adjustment, 15.2 million ordinary shares remained authorized for awards under the Plan as of 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ind w:right="20"/>
        <w:spacing w:after="0" w:line="254"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was $7.3 million and $16.8 million for the three months ended June 30, 2021 and 2020, respectively, and $10.7 million and $38.4 million for the six months ended June 30, 2021 and 2020, respectively.</w:t>
      </w:r>
    </w:p>
    <w:p>
      <w:pPr>
        <w:spacing w:after="0" w:line="182" w:lineRule="exact"/>
        <w:rPr>
          <w:sz w:val="20"/>
          <w:szCs w:val="20"/>
          <w:color w:val="auto"/>
        </w:rPr>
      </w:pPr>
    </w:p>
    <w:p>
      <w:pPr>
        <w:ind w:right="5480"/>
        <w:spacing w:after="0" w:line="494" w:lineRule="auto"/>
        <w:rPr>
          <w:sz w:val="20"/>
          <w:szCs w:val="20"/>
          <w:color w:val="auto"/>
        </w:rPr>
      </w:pPr>
      <w:r>
        <w:rPr>
          <w:rFonts w:ascii="Arial" w:cs="Arial" w:eastAsia="Arial" w:hAnsi="Arial"/>
          <w:sz w:val="17"/>
          <w:szCs w:val="17"/>
          <w:b w:val="1"/>
          <w:bCs w:val="1"/>
          <w:color w:val="auto"/>
        </w:rPr>
        <w:t xml:space="preserve">NOTE 16. IMPAIRMENT, RESTRUCTURING AND OTHER EXPENSES </w:t>
      </w:r>
      <w:r>
        <w:rPr>
          <w:rFonts w:ascii="Arial" w:cs="Arial" w:eastAsia="Arial" w:hAnsi="Arial"/>
          <w:sz w:val="17"/>
          <w:szCs w:val="17"/>
          <w:color w:val="auto"/>
        </w:rPr>
        <w:t>Impairment, restructuring and other expenses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2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w w:val="99"/>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2,869.4</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431.1</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3"/>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3,302.7</w:t>
            </w: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Long-Lived Assets Impairments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Goodwill and long-lived assets impairments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2,809.0</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412.7</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Total impairments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3,221.7</w:t>
            </w: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During the six months ended June 30, 2021, subsequent to the Spin-off, certain real estate realization actions were taken, and as a result, we recorded $18.8 million of impairment charges relating to our operating lease right-of-use assets.</w:t>
      </w:r>
    </w:p>
    <w:p>
      <w:pPr>
        <w:spacing w:after="0" w:line="14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the three and six months ended June 30, 2020, triggering events were identified that led to impairments of certain long-lived assets, including goodwill. During the three and six months ended June 30, 2020, impairment charges of $33.7 million and $3,221.7 million, respectively, were recorded. These charges included goodwill impairment charges of $2,747.5 million and $335.9 million in our Subsea and Surface Technologies segments, respectively.</w:t>
      </w:r>
    </w:p>
    <w:p>
      <w:pPr>
        <w:spacing w:after="0" w:line="1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other long-lived assets, a conclusion was made that the market uncertainty was a triggering event for certain asset groups that serve short-cycle businesses in our Subsea and Surface Technologies segments. Assessing these asset groups for recoverability required the use of unobservable inputs that require significant judgment. Such judgments include expected future asset utilization while taking into account reduced future capital spending by certain customers in response to market conditions. As a result of this assessment, for the three and six months ended June 30, 2020, we recorded impairment charges of $32.5 million and $61.5 million, respectively, in our Subsea segment, consisting primarily of installation and service equipment. For the three and six months ended June 30, 2020, we recorded impairment charges of $1.2 million and $76.8 million, respectively, in our Surface Technologies segment, consisting primarily of North America-based fracturing and wellhead assets.</w:t>
      </w:r>
    </w:p>
    <w:p>
      <w:pPr>
        <w:spacing w:after="0" w:line="151"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carrying amounts of such assets may not be recoverable. Assessing the recoverability of assets to be held and used requires the use of unobservable inputs, which involves significant judgment. Such judgments include expected future asset utilization while taking into account reduced future capital spending by certain customers in response to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Restructuring and Other Expenses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Restructuring and other charges primarily consisted of severance and other employee related costs across both segments. Restructuring and other expenses were as follows: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6"/>
              </w:rPr>
              <w:t>Restructuring and</w:t>
            </w:r>
          </w:p>
        </w:tc>
        <w:tc>
          <w:tcPr>
            <w:tcW w:w="100" w:type="dxa"/>
            <w:vAlign w:val="bottom"/>
          </w:tcPr>
          <w:p>
            <w:pPr>
              <w:spacing w:after="0"/>
              <w:rPr>
                <w:sz w:val="10"/>
                <w:szCs w:val="10"/>
                <w:color w:val="auto"/>
              </w:rPr>
            </w:pPr>
          </w:p>
        </w:tc>
        <w:tc>
          <w:tcPr>
            <w:tcW w:w="12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8"/>
              </w:rPr>
              <w:t>Restructuring and</w:t>
            </w:r>
          </w:p>
        </w:tc>
        <w:tc>
          <w:tcPr>
            <w:tcW w:w="260" w:type="dxa"/>
            <w:vAlign w:val="bottom"/>
          </w:tcPr>
          <w:p>
            <w:pPr>
              <w:spacing w:after="0"/>
              <w:rPr>
                <w:sz w:val="10"/>
                <w:szCs w:val="10"/>
                <w:color w:val="auto"/>
              </w:rPr>
            </w:pPr>
          </w:p>
        </w:tc>
        <w:tc>
          <w:tcPr>
            <w:tcW w:w="900" w:type="dxa"/>
            <w:vAlign w:val="bottom"/>
          </w:tcPr>
          <w:p>
            <w:pPr>
              <w:jc w:val="right"/>
              <w:ind w:right="211"/>
              <w:spacing w:after="0" w:line="115" w:lineRule="exact"/>
              <w:rPr>
                <w:sz w:val="20"/>
                <w:szCs w:val="20"/>
                <w:color w:val="auto"/>
              </w:rPr>
            </w:pPr>
            <w:r>
              <w:rPr>
                <w:rFonts w:ascii="Arial" w:cs="Arial" w:eastAsia="Arial" w:hAnsi="Arial"/>
                <w:sz w:val="13"/>
                <w:szCs w:val="13"/>
                <w:b w:val="1"/>
                <w:bCs w:val="1"/>
                <w:color w:val="auto"/>
                <w:w w:val="99"/>
              </w:rPr>
              <w:t>COVID-19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6"/>
              </w:rPr>
              <w:t>Restructuring and</w:t>
            </w: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6"/>
              </w:rPr>
              <w:t>Restructuring and</w:t>
            </w:r>
          </w:p>
        </w:tc>
        <w:tc>
          <w:tcPr>
            <w:tcW w:w="160" w:type="dxa"/>
            <w:vAlign w:val="bottom"/>
          </w:tcPr>
          <w:p>
            <w:pPr>
              <w:spacing w:after="0"/>
              <w:rPr>
                <w:sz w:val="10"/>
                <w:szCs w:val="10"/>
                <w:color w:val="auto"/>
              </w:rPr>
            </w:pPr>
          </w:p>
        </w:tc>
        <w:tc>
          <w:tcPr>
            <w:tcW w:w="860" w:type="dxa"/>
            <w:vAlign w:val="bottom"/>
          </w:tcPr>
          <w:p>
            <w:pPr>
              <w:jc w:val="right"/>
              <w:ind w:right="151"/>
              <w:spacing w:after="0" w:line="115" w:lineRule="exact"/>
              <w:rPr>
                <w:sz w:val="20"/>
                <w:szCs w:val="20"/>
                <w:color w:val="auto"/>
              </w:rPr>
            </w:pPr>
            <w:r>
              <w:rPr>
                <w:rFonts w:ascii="Arial" w:cs="Arial" w:eastAsia="Arial" w:hAnsi="Arial"/>
                <w:sz w:val="13"/>
                <w:szCs w:val="13"/>
                <w:b w:val="1"/>
                <w:bCs w:val="1"/>
                <w:color w:val="auto"/>
              </w:rPr>
              <w:t>COVID-19</w:t>
            </w:r>
          </w:p>
        </w:tc>
        <w:tc>
          <w:tcPr>
            <w:tcW w:w="0" w:type="dxa"/>
            <w:vAlign w:val="bottom"/>
          </w:tcPr>
          <w:p>
            <w:pPr>
              <w:spacing w:after="0"/>
              <w:rPr>
                <w:sz w:val="1"/>
                <w:szCs w:val="1"/>
                <w:color w:val="auto"/>
              </w:rPr>
            </w:pPr>
          </w:p>
        </w:tc>
      </w:tr>
      <w:tr>
        <w:trPr>
          <w:trHeight w:val="172"/>
        </w:trPr>
        <w:tc>
          <w:tcPr>
            <w:tcW w:w="3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 charges</w:t>
            </w:r>
          </w:p>
        </w:tc>
        <w:tc>
          <w:tcPr>
            <w:tcW w:w="10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other charges</w:t>
            </w:r>
          </w:p>
        </w:tc>
        <w:tc>
          <w:tcPr>
            <w:tcW w:w="2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expenses</w:t>
            </w: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other charges</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 charges</w:t>
            </w:r>
          </w:p>
        </w:tc>
        <w:tc>
          <w:tcPr>
            <w:tcW w:w="160" w:type="dxa"/>
            <w:vAlign w:val="bottom"/>
          </w:tcPr>
          <w:p>
            <w:pPr>
              <w:spacing w:after="0"/>
              <w:rPr>
                <w:sz w:val="14"/>
                <w:szCs w:val="14"/>
                <w:color w:val="auto"/>
              </w:rPr>
            </w:pPr>
          </w:p>
        </w:tc>
        <w:tc>
          <w:tcPr>
            <w:tcW w:w="860" w:type="dxa"/>
            <w:vAlign w:val="bottom"/>
          </w:tcPr>
          <w:p>
            <w:pPr>
              <w:jc w:val="right"/>
              <w:ind w:right="151"/>
              <w:spacing w:after="0"/>
              <w:rPr>
                <w:sz w:val="20"/>
                <w:szCs w:val="20"/>
                <w:color w:val="auto"/>
              </w:rPr>
            </w:pPr>
            <w:r>
              <w:rPr>
                <w:rFonts w:ascii="Arial" w:cs="Arial" w:eastAsia="Arial" w:hAnsi="Arial"/>
                <w:sz w:val="13"/>
                <w:szCs w:val="13"/>
                <w:b w:val="1"/>
                <w:bCs w:val="1"/>
                <w:color w:val="auto"/>
              </w:rPr>
              <w:t>expenses</w:t>
            </w:r>
          </w:p>
        </w:tc>
        <w:tc>
          <w:tcPr>
            <w:tcW w:w="0" w:type="dxa"/>
            <w:vAlign w:val="bottom"/>
          </w:tcPr>
          <w:p>
            <w:pPr>
              <w:spacing w:after="0"/>
              <w:rPr>
                <w:sz w:val="1"/>
                <w:szCs w:val="1"/>
                <w:color w:val="auto"/>
              </w:rPr>
            </w:pPr>
          </w:p>
        </w:tc>
      </w:tr>
      <w:tr>
        <w:trPr>
          <w:trHeight w:val="186"/>
        </w:trPr>
        <w:tc>
          <w:tcPr>
            <w:tcW w:w="33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Subsea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29.0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Surface Technologies</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and other</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three and six months ended June 30, 2020, we incurred $31.6 million and $36.7 million, respectively, of COVID-19 related expenses. These expenses represent unplanned, one-off, incremental and non-recoverable costs incurred solely as a result of the COVID-19 pandemic situation, which would not have been incurred otherwise.</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Prolonged uncertainty in energy markets could lead to further reductions in capital spending from our customer base. In turn, this may lead to changes in our strategy. We will continue to take actions to mitigate the adverse effects of the changing market environment and expect to continue to adjust our cost structure to market conditions. If market conditions deteriorate, we may record additional restructuring charges and additional impairments of our long-lived assets, operating lease right-of-use assets and equity method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CONTINGENT LIABILITIES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condensed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8"/>
                <w:szCs w:val="18"/>
                <w:color w:val="auto"/>
                <w:vertAlign w:val="superscript"/>
              </w:rPr>
              <w:t>(a)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1,353.9</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Maximum potential undiscounted payments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60" w:hanging="332"/>
        <w:spacing w:after="0" w:line="258"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39" w:lineRule="exact"/>
        <w:rPr>
          <w:rFonts w:ascii="Arial" w:cs="Arial" w:eastAsia="Arial" w:hAnsi="Arial"/>
          <w:sz w:val="14"/>
          <w:szCs w:val="14"/>
          <w:color w:val="auto"/>
        </w:rPr>
      </w:pPr>
    </w:p>
    <w:p>
      <w:pPr>
        <w:ind w:left="340" w:right="320" w:hanging="332"/>
        <w:spacing w:after="0" w:line="258"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believe the ultimate resolution of our known contingencies will not materially adversely affect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ind w:right="100"/>
        <w:spacing w:after="0" w:line="258" w:lineRule="auto"/>
        <w:rPr>
          <w:sz w:val="20"/>
          <w:szCs w:val="20"/>
          <w:color w:val="auto"/>
        </w:rPr>
      </w:pPr>
      <w:r>
        <w:rPr>
          <w:rFonts w:ascii="Arial" w:cs="Arial" w:eastAsia="Arial" w:hAnsi="Arial"/>
          <w:sz w:val="18"/>
          <w:szCs w:val="18"/>
          <w:i w:val="1"/>
          <w:iCs w:val="1"/>
          <w:color w:val="auto"/>
        </w:rPr>
        <w:t xml:space="preserve">Contingent liabilities associated with legal and tax matters - </w:t>
      </w:r>
      <w:r>
        <w:rPr>
          <w:rFonts w:ascii="Arial" w:cs="Arial" w:eastAsia="Arial" w:hAnsi="Arial"/>
          <w:sz w:val="18"/>
          <w:szCs w:val="18"/>
          <w:color w:val="auto"/>
        </w:rPr>
        <w:t>We are involved in various pending or potential legal and tax actions or disputes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ordinary course of our business. These actions and disputes can involve our agents, suppliers, clients and venture partners, and can include claims related to payment of fees, service quality and ownership arrangements. We are unable to predict the ultimate outcome of these actions because of their inherent uncertainty. However, we believe that the most probable, ultimate resolution of these matters will not have a material adverse effect on our consolidated financial position, results of operations or cash flows.</w:t>
      </w:r>
    </w:p>
    <w:p>
      <w:pPr>
        <w:spacing w:after="0" w:line="1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the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a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3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i w:val="1"/>
          <w:iCs w:val="1"/>
          <w:color w:val="auto"/>
        </w:rPr>
        <w:t xml:space="preserve">Contingent liabilities associated with liquidated damages </w:t>
      </w:r>
      <w:r>
        <w:rPr>
          <w:rFonts w:ascii="Arial" w:cs="Arial" w:eastAsia="Arial" w:hAnsi="Arial"/>
          <w:sz w:val="18"/>
          <w:szCs w:val="18"/>
          <w:color w:val="auto"/>
        </w:rPr>
        <w:t>- Some of our contracts contain provisions that require us to pay liquidated</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if we are responsible for the failure to meet specified contractual milestone dates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right="140"/>
        <w:spacing w:after="0" w:line="253" w:lineRule="auto"/>
        <w:rPr>
          <w:sz w:val="20"/>
          <w:szCs w:val="20"/>
          <w:color w:val="auto"/>
        </w:rPr>
      </w:pPr>
      <w:r>
        <w:rPr>
          <w:rFonts w:ascii="Arial" w:cs="Arial" w:eastAsia="Arial" w:hAnsi="Arial"/>
          <w:sz w:val="18"/>
          <w:szCs w:val="18"/>
          <w:color w:val="auto"/>
        </w:rPr>
        <w:t>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June 30, 2021 and December 31, 2020, and that the ultimate resolution of such matters will not materially affect our consolidated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provision for income taxes for the three months ended June 30, 2021 and 2020 reflected effective tax rates of (25.3)% and (18.6)%, respectively. The year-over-year decrease in the effective tax rate was primarily due to the increased impact of losses in jurisdictions with a full valuation allowance, and a change in geographical profit mix year over year.</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provision for income taxes for the six months ended June 30, 2021 and 2020 reflected effective tax rates of 18.6% and (0.1)%, respectively. The year-over-year increase in the effective tax rate was primarily due to the increased impact of losses in jurisdictions with a full valuation allowance, and a change in geographical profit mix year over year.</w:t>
      </w:r>
    </w:p>
    <w:p>
      <w:pPr>
        <w:spacing w:after="0" w:line="14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DERIVATIVE FINANCIAL INSTRUMENTS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condensed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is reflected in earnings in the period such change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jc w:val="both"/>
        <w:ind w:right="86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purchase or sale commitments denominated in foreign currencies and recorded assets and liabilities in our condensed consolidated balance sheets. As of June 30, 2021, we held the following material net positions: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48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rPr>
              <w:t>Net Notional Amount</w:t>
            </w:r>
          </w:p>
        </w:tc>
        <w:tc>
          <w:tcPr>
            <w:tcW w:w="680" w:type="dxa"/>
            <w:vAlign w:val="bottom"/>
          </w:tcPr>
          <w:p>
            <w:pPr>
              <w:spacing w:after="0"/>
              <w:rPr>
                <w:sz w:val="14"/>
                <w:szCs w:val="14"/>
                <w:color w:val="auto"/>
              </w:rPr>
            </w:pPr>
          </w:p>
        </w:tc>
      </w:tr>
      <w:tr>
        <w:trPr>
          <w:trHeight w:val="176"/>
        </w:trPr>
        <w:tc>
          <w:tcPr>
            <w:tcW w:w="8060" w:type="dxa"/>
            <w:vAlign w:val="bottom"/>
          </w:tcPr>
          <w:p>
            <w:pPr>
              <w:spacing w:after="0"/>
              <w:rPr>
                <w:sz w:val="15"/>
                <w:szCs w:val="15"/>
                <w:color w:val="auto"/>
              </w:rPr>
            </w:pPr>
          </w:p>
        </w:tc>
        <w:tc>
          <w:tcPr>
            <w:tcW w:w="248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rPr>
              <w:t>Bought (Sold)</w:t>
            </w:r>
          </w:p>
        </w:tc>
        <w:tc>
          <w:tcPr>
            <w:tcW w:w="680" w:type="dxa"/>
            <w:vAlign w:val="bottom"/>
            <w:tcBorders>
              <w:bottom w:val="single" w:sz="8" w:color="auto"/>
            </w:tcBorders>
          </w:tcPr>
          <w:p>
            <w:pPr>
              <w:spacing w:after="0"/>
              <w:rPr>
                <w:sz w:val="15"/>
                <w:szCs w:val="15"/>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546.0</w:t>
            </w: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649.3</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British pound</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252.4</w:t>
            </w:r>
          </w:p>
        </w:tc>
        <w:tc>
          <w:tcPr>
            <w:tcW w:w="8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350.0</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1,183.7</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236.7</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505.9</w:t>
            </w:r>
          </w:p>
        </w:tc>
        <w:tc>
          <w:tcPr>
            <w:tcW w:w="8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59.2</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Mexican peso</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(230.6)</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Singapore dollar</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85.6</w:t>
            </w:r>
          </w:p>
        </w:tc>
        <w:tc>
          <w:tcPr>
            <w:tcW w:w="8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63.6</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Canadian dollar</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27.8</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Indian rupee</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862.2</w:t>
            </w:r>
          </w:p>
        </w:tc>
        <w:tc>
          <w:tcPr>
            <w:tcW w:w="8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11.6</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Russian ruble</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711.2</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Kuwaiti dinar</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Indonesian rupiah</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(370,826.2)</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Australian dollar</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(154.1)</w:t>
            </w:r>
          </w:p>
        </w:tc>
        <w:tc>
          <w:tcPr>
            <w:tcW w:w="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(115.6)</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Malaysian ringgit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(701.8)</w:t>
            </w: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r>
      <w:tr>
        <w:trPr>
          <w:trHeight w:val="190"/>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306.2</w:t>
            </w:r>
          </w:p>
        </w:tc>
        <w:tc>
          <w:tcPr>
            <w:tcW w:w="8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306.2</w:t>
            </w:r>
          </w:p>
        </w:tc>
      </w:tr>
    </w:tbl>
    <w:p>
      <w:pPr>
        <w:spacing w:after="0" w:line="14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As of June 30, 2021, our portfolio of these instruments included the following material net positions: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52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rPr>
              <w:t>Net Notional Amount</w:t>
            </w:r>
          </w:p>
        </w:tc>
        <w:tc>
          <w:tcPr>
            <w:tcW w:w="640" w:type="dxa"/>
            <w:vAlign w:val="bottom"/>
          </w:tcPr>
          <w:p>
            <w:pPr>
              <w:spacing w:after="0"/>
              <w:rPr>
                <w:sz w:val="14"/>
                <w:szCs w:val="14"/>
                <w:color w:val="auto"/>
              </w:rPr>
            </w:pPr>
          </w:p>
        </w:tc>
      </w:tr>
      <w:tr>
        <w:trPr>
          <w:trHeight w:val="175"/>
        </w:trPr>
        <w:tc>
          <w:tcPr>
            <w:tcW w:w="8060" w:type="dxa"/>
            <w:vAlign w:val="bottom"/>
          </w:tcPr>
          <w:p>
            <w:pPr>
              <w:spacing w:after="0"/>
              <w:rPr>
                <w:sz w:val="15"/>
                <w:szCs w:val="15"/>
                <w:color w:val="auto"/>
              </w:rPr>
            </w:pPr>
          </w:p>
        </w:tc>
        <w:tc>
          <w:tcPr>
            <w:tcW w:w="252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b w:val="1"/>
                <w:bCs w:val="1"/>
                <w:color w:val="auto"/>
              </w:rPr>
              <w:t>Bought (Sold)</w:t>
            </w:r>
          </w:p>
        </w:tc>
        <w:tc>
          <w:tcPr>
            <w:tcW w:w="640" w:type="dxa"/>
            <w:vAlign w:val="bottom"/>
            <w:tcBorders>
              <w:bottom w:val="single" w:sz="8" w:color="auto"/>
            </w:tcBorders>
          </w:tcPr>
          <w:p>
            <w:pPr>
              <w:spacing w:after="0"/>
              <w:rPr>
                <w:sz w:val="15"/>
                <w:szCs w:val="15"/>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rPr>
              <w:t>30.6</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tcPr>
          <w:p>
            <w:pPr>
              <w:jc w:val="center"/>
              <w:ind w:left="928"/>
              <w:spacing w:after="0"/>
              <w:rPr>
                <w:sz w:val="20"/>
                <w:szCs w:val="20"/>
                <w:color w:val="auto"/>
              </w:rPr>
            </w:pPr>
            <w:r>
              <w:rPr>
                <w:rFonts w:ascii="Arial" w:cs="Arial" w:eastAsia="Arial" w:hAnsi="Arial"/>
                <w:sz w:val="14"/>
                <w:szCs w:val="14"/>
                <w:color w:val="auto"/>
              </w:rPr>
              <w:t>(63.5)</w:t>
            </w: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620" w:type="dxa"/>
            <w:vAlign w:val="bottom"/>
            <w:shd w:val="clear" w:color="auto" w:fill="CCEEFF"/>
          </w:tcPr>
          <w:p>
            <w:pPr>
              <w:jc w:val="center"/>
              <w:ind w:left="928"/>
              <w:spacing w:after="0"/>
              <w:rPr>
                <w:sz w:val="20"/>
                <w:szCs w:val="20"/>
                <w:color w:val="auto"/>
              </w:rPr>
            </w:pPr>
            <w:r>
              <w:rPr>
                <w:rFonts w:ascii="Arial" w:cs="Arial" w:eastAsia="Arial" w:hAnsi="Arial"/>
                <w:sz w:val="14"/>
                <w:szCs w:val="14"/>
                <w:color w:val="auto"/>
              </w:rPr>
              <w:t>(16.1)</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190"/>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center"/>
              <w:ind w:left="948"/>
              <w:spacing w:after="0"/>
              <w:rPr>
                <w:sz w:val="20"/>
                <w:szCs w:val="20"/>
                <w:color w:val="auto"/>
              </w:rPr>
            </w:pPr>
            <w:r>
              <w:rPr>
                <w:rFonts w:ascii="Arial" w:cs="Arial" w:eastAsia="Arial" w:hAnsi="Arial"/>
                <w:sz w:val="14"/>
                <w:szCs w:val="14"/>
                <w:color w:val="auto"/>
              </w:rPr>
              <w:t>21.4</w:t>
            </w:r>
          </w:p>
        </w:tc>
        <w:tc>
          <w:tcPr>
            <w:tcW w:w="9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21.4</w:t>
            </w:r>
          </w:p>
        </w:tc>
      </w:tr>
    </w:tbl>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20 for further details. Accordingly, the estimates presented may not be indicative of the amounts we would realize in a current market exchange and may not be indicative of the gains or losses we may ultimately incur when these contracts are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8" w:name="page29"/>
    <w:bookmarkEnd w:id="28"/>
    <w:p>
      <w:pPr>
        <w:ind w:right="260"/>
        <w:spacing w:after="0" w:line="261" w:lineRule="auto"/>
        <w:rPr>
          <w:sz w:val="20"/>
          <w:szCs w:val="20"/>
          <w:color w:val="auto"/>
        </w:rPr>
      </w:pPr>
      <w:r>
        <w:rPr>
          <w:rFonts w:ascii="Arial" w:cs="Arial" w:eastAsia="Arial" w:hAnsi="Arial"/>
          <w:sz w:val="18"/>
          <w:szCs w:val="18"/>
          <w:color w:val="auto"/>
        </w:rPr>
        <w:t>The following table presents the location and fair value amounts of derivative instruments reported in the condensed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Liabilities</w:t>
            </w:r>
          </w:p>
        </w:tc>
      </w:tr>
      <w:tr>
        <w:trPr>
          <w:trHeight w:val="16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w:t>
            </w:r>
          </w:p>
        </w:tc>
      </w:tr>
      <w:tr>
        <w:trPr>
          <w:trHeight w:val="189"/>
        </w:trPr>
        <w:tc>
          <w:tcPr>
            <w:tcW w:w="566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w:t>
            </w: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5660" w:type="dxa"/>
            <w:vAlign w:val="bottom"/>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189"/>
        </w:trPr>
        <w:tc>
          <w:tcPr>
            <w:tcW w:w="5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0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Cash flow hedges of forecasted transactions qualifying for hedge accounting, net of tax, resulted in accumulated other comprehensive gains of $2.8 million and $12.9 million as of June 30, 2021 and December 31, 2020, respectively. We expect to transfer an approximate $55.7 million gain from accumulated OCI to earnings during the next 12 months when the anticipated transactions actually occur. All anticipated transactions currently being hedged are expected to occur by the second half of 2023.</w:t>
      </w:r>
    </w:p>
    <w:p>
      <w:pPr>
        <w:spacing w:after="0" w:line="1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presents the gains (losses) recognized in other comprehensive income related to derivative instruments designated as cash flow hedges: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580" w:type="dxa"/>
            <w:vAlign w:val="bottom"/>
            <w:tcBorders>
              <w:bottom w:val="single" w:sz="8" w:color="auto"/>
            </w:tcBorders>
            <w:gridSpan w:val="4"/>
          </w:tcPr>
          <w:p>
            <w:pPr>
              <w:jc w:val="center"/>
              <w:ind w:left="288"/>
              <w:spacing w:after="0"/>
              <w:rPr>
                <w:sz w:val="20"/>
                <w:szCs w:val="20"/>
                <w:color w:val="auto"/>
              </w:rPr>
            </w:pPr>
            <w:r>
              <w:rPr>
                <w:rFonts w:ascii="Arial" w:cs="Arial" w:eastAsia="Arial" w:hAnsi="Arial"/>
                <w:sz w:val="14"/>
                <w:szCs w:val="14"/>
                <w:b w:val="1"/>
                <w:bCs w:val="1"/>
                <w:color w:val="auto"/>
              </w:rPr>
              <w:t>Gain (Loss) Recognized in OCI</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right="208"/>
              <w:spacing w:after="0"/>
              <w:rPr>
                <w:sz w:val="20"/>
                <w:szCs w:val="20"/>
                <w:color w:val="auto"/>
              </w:rPr>
            </w:pPr>
            <w:r>
              <w:rPr>
                <w:rFonts w:ascii="Arial" w:cs="Arial" w:eastAsia="Arial" w:hAnsi="Arial"/>
                <w:sz w:val="14"/>
                <w:szCs w:val="14"/>
                <w:b w:val="1"/>
                <w:bCs w:val="1"/>
                <w:color w:val="auto"/>
              </w:rPr>
              <w:t>Gain (Loss) Recognized in OCI</w:t>
            </w:r>
          </w:p>
        </w:tc>
      </w:tr>
      <w:tr>
        <w:trPr>
          <w:trHeight w:val="183"/>
        </w:trPr>
        <w:tc>
          <w:tcPr>
            <w:tcW w:w="5200" w:type="dxa"/>
            <w:vAlign w:val="bottom"/>
          </w:tcPr>
          <w:p>
            <w:pPr>
              <w:spacing w:after="0"/>
              <w:rPr>
                <w:sz w:val="15"/>
                <w:szCs w:val="15"/>
                <w:color w:val="auto"/>
              </w:rPr>
            </w:pPr>
          </w:p>
        </w:tc>
        <w:tc>
          <w:tcPr>
            <w:tcW w:w="258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jc w:val="center"/>
              <w:ind w:right="18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54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9" w:name="page30"/>
    <w:bookmarkEnd w:id="29"/>
    <w:p>
      <w:pPr>
        <w:ind w:right="300"/>
        <w:spacing w:after="0" w:line="261" w:lineRule="auto"/>
        <w:rPr>
          <w:sz w:val="20"/>
          <w:szCs w:val="20"/>
          <w:color w:val="auto"/>
        </w:rPr>
      </w:pPr>
      <w:r>
        <w:rPr>
          <w:rFonts w:ascii="Arial" w:cs="Arial" w:eastAsia="Arial" w:hAnsi="Arial"/>
          <w:sz w:val="18"/>
          <w:szCs w:val="18"/>
          <w:color w:val="auto"/>
        </w:rPr>
        <w:t>The following tables represent the effect of cash flow hedge accounting in the condensed consolidated statements of income for the three and six months ended June 30, 2021 and 2020:</w:t>
      </w:r>
    </w:p>
    <w:p>
      <w:pPr>
        <w:sectPr>
          <w:pgSz w:w="11900" w:h="16838" w:orient="portrait"/>
          <w:cols w:equalWidth="0" w:num="1">
            <w:col w:w="11220"/>
          </w:cols>
          <w:pgMar w:left="320" w:top="1178" w:right="35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161" w:lineRule="exact"/>
        <w:rPr>
          <w:sz w:val="20"/>
          <w:szCs w:val="20"/>
          <w:color w:val="auto"/>
        </w:rPr>
      </w:pPr>
    </w:p>
    <w:p>
      <w:pPr>
        <w:ind w:left="20"/>
        <w:spacing w:after="0" w:line="213" w:lineRule="auto"/>
        <w:rPr>
          <w:sz w:val="20"/>
          <w:szCs w:val="20"/>
          <w:color w:val="auto"/>
        </w:rPr>
      </w:pPr>
      <w:r>
        <w:rPr>
          <w:rFonts w:ascii="Arial" w:cs="Arial" w:eastAsia="Arial" w:hAnsi="Arial"/>
          <w:sz w:val="13"/>
          <w:szCs w:val="13"/>
          <w:b w:val="1"/>
          <w:bCs w:val="1"/>
          <w:color w:val="auto"/>
        </w:rPr>
        <w:t>Total amount of income (expense) presented in the consolidated statements of income associated with hedges and derivatives</w:t>
      </w:r>
    </w:p>
    <w:p>
      <w:pPr>
        <w:spacing w:after="0" w:line="25" w:lineRule="exact"/>
        <w:rPr>
          <w:sz w:val="20"/>
          <w:szCs w:val="20"/>
          <w:color w:val="auto"/>
        </w:rPr>
      </w:pPr>
    </w:p>
    <w:p>
      <w:pPr>
        <w:ind w:left="180" w:right="20"/>
        <w:spacing w:after="0" w:line="219" w:lineRule="auto"/>
        <w:rPr>
          <w:sz w:val="20"/>
          <w:szCs w:val="20"/>
          <w:color w:val="auto"/>
        </w:rPr>
      </w:pPr>
      <w:r>
        <w:rPr>
          <w:rFonts w:ascii="Arial" w:cs="Arial" w:eastAsia="Arial" w:hAnsi="Arial"/>
          <w:sz w:val="13"/>
          <w:szCs w:val="13"/>
          <w:color w:val="auto"/>
        </w:rPr>
        <w:t>Amounts reclassified from accumulated OCI to income</w:t>
      </w:r>
    </w:p>
    <w:p>
      <w:pPr>
        <w:spacing w:after="0" w:line="24" w:lineRule="exact"/>
        <w:rPr>
          <w:sz w:val="20"/>
          <w:szCs w:val="20"/>
          <w:color w:val="auto"/>
        </w:rPr>
      </w:pPr>
    </w:p>
    <w:p>
      <w:pPr>
        <w:ind w:left="180" w:right="380"/>
        <w:spacing w:after="0" w:line="219" w:lineRule="auto"/>
        <w:rPr>
          <w:sz w:val="20"/>
          <w:szCs w:val="20"/>
          <w:color w:val="auto"/>
        </w:rPr>
      </w:pPr>
      <w:r>
        <w:rPr>
          <w:rFonts w:ascii="Arial" w:cs="Arial" w:eastAsia="Arial" w:hAnsi="Arial"/>
          <w:sz w:val="13"/>
          <w:szCs w:val="13"/>
          <w:color w:val="auto"/>
        </w:rPr>
        <w:t>Amounts excluded from effectiveness testing</w:t>
      </w:r>
    </w:p>
    <w:p>
      <w:pPr>
        <w:ind w:left="20"/>
        <w:spacing w:after="0" w:line="233" w:lineRule="auto"/>
        <w:rPr>
          <w:sz w:val="20"/>
          <w:szCs w:val="20"/>
          <w:color w:val="auto"/>
        </w:rPr>
      </w:pPr>
      <w:r>
        <w:rPr>
          <w:rFonts w:ascii="Arial" w:cs="Arial" w:eastAsia="Arial" w:hAnsi="Arial"/>
          <w:sz w:val="13"/>
          <w:szCs w:val="13"/>
          <w:b w:val="1"/>
          <w:bCs w:val="1"/>
          <w:color w:val="auto"/>
        </w:rPr>
        <w:t>Total cash flow hedge gain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recognized in income</w:t>
      </w:r>
    </w:p>
    <w:p>
      <w:pPr>
        <w:spacing w:after="0" w:line="10" w:lineRule="exact"/>
        <w:rPr>
          <w:sz w:val="20"/>
          <w:szCs w:val="20"/>
          <w:color w:val="auto"/>
        </w:rPr>
      </w:pPr>
    </w:p>
    <w:p>
      <w:pPr>
        <w:ind w:left="20" w:right="420"/>
        <w:spacing w:after="0" w:line="232" w:lineRule="auto"/>
        <w:rPr>
          <w:sz w:val="20"/>
          <w:szCs w:val="20"/>
          <w:color w:val="auto"/>
        </w:rPr>
      </w:pPr>
      <w:r>
        <w:rPr>
          <w:rFonts w:ascii="Arial" w:cs="Arial" w:eastAsia="Arial" w:hAnsi="Arial"/>
          <w:sz w:val="13"/>
          <w:szCs w:val="13"/>
          <w:b w:val="1"/>
          <w:bCs w:val="1"/>
          <w:color w:val="auto"/>
        </w:rPr>
        <w:t>Total hedge gain (loss) recognized in income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Three Months Ended June 30, 2021</w:t>
            </w: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9"/>
              </w:rPr>
              <w:t>Three Months Ended June 30, 2020</w:t>
            </w: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Selling,</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Selling,</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general</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general</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Cost of</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and</w:t>
            </w:r>
          </w:p>
        </w:tc>
        <w:tc>
          <w:tcPr>
            <w:tcW w:w="10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21"/>
        </w:trPr>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administrative</w:t>
            </w: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administrative</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sales</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expense</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265"/>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(15.6)</w:t>
            </w:r>
          </w:p>
        </w:tc>
        <w:tc>
          <w:tcPr>
            <w:tcW w:w="120" w:type="dxa"/>
            <w:vAlign w:val="bottom"/>
          </w:tcPr>
          <w:p>
            <w:pPr>
              <w:spacing w:after="0"/>
              <w:rPr>
                <w:sz w:val="23"/>
                <w:szCs w:val="23"/>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center"/>
              <w:ind w:left="277"/>
              <w:spacing w:after="0"/>
              <w:rPr>
                <w:sz w:val="20"/>
                <w:szCs w:val="20"/>
                <w:color w:val="auto"/>
              </w:rPr>
            </w:pPr>
            <w:r>
              <w:rPr>
                <w:rFonts w:ascii="Arial" w:cs="Arial" w:eastAsia="Arial" w:hAnsi="Arial"/>
                <w:sz w:val="13"/>
                <w:szCs w:val="13"/>
                <w:color w:val="auto"/>
                <w:w w:val="88"/>
              </w:rPr>
              <w:t>3.2</w:t>
            </w:r>
          </w:p>
        </w:tc>
        <w:tc>
          <w:tcPr>
            <w:tcW w:w="120" w:type="dxa"/>
            <w:vAlign w:val="bottom"/>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3"/>
                <w:szCs w:val="23"/>
                <w:color w:val="auto"/>
              </w:rPr>
            </w:pPr>
          </w:p>
        </w:tc>
        <w:tc>
          <w:tcPr>
            <w:tcW w:w="38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23"/>
                <w:szCs w:val="23"/>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3"/>
                <w:szCs w:val="23"/>
                <w:color w:val="auto"/>
              </w:rPr>
            </w:pPr>
          </w:p>
        </w:tc>
        <w:tc>
          <w:tcPr>
            <w:tcW w:w="38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306"/>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color w:val="auto"/>
                <w:w w:val="97"/>
              </w:rPr>
              <w:t>(1.5)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77"/>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color w:val="auto"/>
                <w:w w:val="88"/>
              </w:rPr>
              <w:t>1.7</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5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color w:val="auto"/>
                <w:w w:val="88"/>
              </w:rPr>
              <w:t>1.7</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-770890</wp:posOffset>
            </wp:positionV>
            <wp:extent cx="711517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885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-393700</wp:posOffset>
            </wp:positionV>
            <wp:extent cx="711517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60" w:space="40"/>
            <w:col w:w="8520"/>
          </w:cols>
          <w:pgMar w:left="320" w:top="1178" w:right="35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w w:val="97"/>
              </w:rPr>
              <w:t>Gain (loss) recognized in income on derivatives</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ind w:left="9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61"/>
        </w:trPr>
        <w:tc>
          <w:tcPr>
            <w:tcW w:w="2700" w:type="dxa"/>
            <w:vAlign w:val="bottom"/>
          </w:tcPr>
          <w:p>
            <w:pPr>
              <w:ind w:left="20"/>
              <w:spacing w:after="0"/>
              <w:rPr>
                <w:sz w:val="20"/>
                <w:szCs w:val="20"/>
                <w:color w:val="auto"/>
              </w:rPr>
            </w:pPr>
            <w:r>
              <w:rPr>
                <w:rFonts w:ascii="Arial" w:cs="Arial" w:eastAsia="Arial" w:hAnsi="Arial"/>
                <w:sz w:val="13"/>
                <w:szCs w:val="13"/>
                <w:color w:val="auto"/>
              </w:rPr>
              <w:t>not designated as hedging instruments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858"/>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Six Months Ended June 30, 2021</w:t>
            </w: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Six Months Ended June 30, 2020</w:t>
            </w: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Total amount of income (expense)</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Selling,</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Selling,</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general</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general</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w w:val="97"/>
              </w:rPr>
              <w:t>presented in the consolidated statements of</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3"/>
              </w:rPr>
              <w:t>Cost of</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and</w:t>
            </w:r>
          </w:p>
        </w:tc>
        <w:tc>
          <w:tcPr>
            <w:tcW w:w="10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income associated with hedges and</w:t>
            </w: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Revenue</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administrative</w:t>
            </w: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administrative</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derivatives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sales</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60" w:type="dxa"/>
            <w:vAlign w:val="bottom"/>
            <w:gridSpan w:val="3"/>
          </w:tcPr>
          <w:p>
            <w:pPr>
              <w:ind w:left="6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expense</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113"/>
        </w:trPr>
        <w:tc>
          <w:tcPr>
            <w:tcW w:w="2700" w:type="dxa"/>
            <w:vAlign w:val="bottom"/>
            <w:tcBorders>
              <w:top w:val="single" w:sz="8" w:color="CCEEFF"/>
            </w:tcBorders>
            <w:shd w:val="clear" w:color="auto" w:fill="CCEEFF"/>
          </w:tcPr>
          <w:p>
            <w:pPr>
              <w:ind w:left="180"/>
              <w:spacing w:after="0" w:line="113" w:lineRule="exact"/>
              <w:rPr>
                <w:sz w:val="20"/>
                <w:szCs w:val="20"/>
                <w:color w:val="auto"/>
              </w:rPr>
            </w:pPr>
            <w:r>
              <w:rPr>
                <w:rFonts w:ascii="Arial" w:cs="Arial" w:eastAsia="Arial" w:hAnsi="Arial"/>
                <w:sz w:val="13"/>
                <w:szCs w:val="13"/>
                <w:color w:val="auto"/>
                <w:w w:val="98"/>
              </w:rPr>
              <w:t>Amounts reclassified from accumulated OCI</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 income</w:t>
            </w: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180"/>
              <w:spacing w:after="0" w:line="129" w:lineRule="exact"/>
              <w:rPr>
                <w:sz w:val="20"/>
                <w:szCs w:val="20"/>
                <w:color w:val="auto"/>
              </w:rPr>
            </w:pPr>
            <w:r>
              <w:rPr>
                <w:rFonts w:ascii="Arial" w:cs="Arial" w:eastAsia="Arial" w:hAnsi="Arial"/>
                <w:sz w:val="13"/>
                <w:szCs w:val="13"/>
                <w:color w:val="auto"/>
              </w:rPr>
              <w:t>Amounts excluded from effectiveness</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1"/>
        </w:trPr>
        <w:tc>
          <w:tcPr>
            <w:tcW w:w="2700" w:type="dxa"/>
            <w:vAlign w:val="bottom"/>
          </w:tcPr>
          <w:p>
            <w:pPr>
              <w:ind w:left="180"/>
              <w:spacing w:after="0"/>
              <w:rPr>
                <w:sz w:val="20"/>
                <w:szCs w:val="20"/>
                <w:color w:val="auto"/>
              </w:rPr>
            </w:pPr>
            <w:r>
              <w:rPr>
                <w:rFonts w:ascii="Arial" w:cs="Arial" w:eastAsia="Arial" w:hAnsi="Arial"/>
                <w:sz w:val="13"/>
                <w:szCs w:val="13"/>
                <w:color w:val="auto"/>
              </w:rPr>
              <w:t>testing</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0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Total cash flow hedge gain (loss)</w:t>
            </w: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recognized in income</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7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hedge gain (loss) recognized in</w:t>
            </w:r>
          </w:p>
        </w:tc>
        <w:tc>
          <w:tcPr>
            <w:tcW w:w="14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income</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w w:val="97"/>
              </w:rPr>
              <w:t>Gain (loss) recognized in income on derivatives</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ind w:left="9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61"/>
        </w:trPr>
        <w:tc>
          <w:tcPr>
            <w:tcW w:w="2700" w:type="dxa"/>
            <w:vAlign w:val="bottom"/>
          </w:tcPr>
          <w:p>
            <w:pPr>
              <w:ind w:left="20"/>
              <w:spacing w:after="0"/>
              <w:rPr>
                <w:sz w:val="20"/>
                <w:szCs w:val="20"/>
                <w:color w:val="auto"/>
              </w:rPr>
            </w:pPr>
            <w:r>
              <w:rPr>
                <w:rFonts w:ascii="Arial" w:cs="Arial" w:eastAsia="Arial" w:hAnsi="Arial"/>
                <w:sz w:val="13"/>
                <w:szCs w:val="13"/>
                <w:color w:val="auto"/>
              </w:rPr>
              <w:t>not designated as hedging instruments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June 30, 2021 and December 31, 2020, we had no collateralized derivative contracts. The following tables present both gross information and net information of recognized derivative instruments: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 Amounts</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Not Offset,</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Not Offset,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 Amount</w:t>
            </w:r>
          </w:p>
        </w:tc>
        <w:tc>
          <w:tcPr>
            <w:tcW w:w="14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rPr>
              <w:t>Permitted Under</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 Amount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Permitted Under</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Master Netting</w:t>
            </w:r>
          </w:p>
        </w:tc>
        <w:tc>
          <w:tcPr>
            <w:tcW w:w="16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Master Netting</w:t>
            </w:r>
          </w:p>
        </w:tc>
        <w:tc>
          <w:tcPr>
            <w:tcW w:w="180" w:type="dxa"/>
            <w:vAlign w:val="bottom"/>
          </w:tcPr>
          <w:p>
            <w:pPr>
              <w:spacing w:after="0"/>
              <w:rPr>
                <w:sz w:val="11"/>
                <w:szCs w:val="11"/>
                <w:color w:val="auto"/>
              </w:rPr>
            </w:pP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Agreements</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142.4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20.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Technip Energies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line="189" w:lineRule="exact"/>
              <w:rPr>
                <w:sz w:val="20"/>
                <w:szCs w:val="20"/>
                <w:color w:val="auto"/>
              </w:rPr>
            </w:pPr>
            <w:r>
              <w:rPr>
                <w:rFonts w:ascii="Arial" w:cs="Arial" w:eastAsia="Arial" w:hAnsi="Arial"/>
                <w:sz w:val="14"/>
                <w:szCs w:val="14"/>
                <w:color w:val="auto"/>
              </w:rPr>
              <w:t>Equity securities</w:t>
            </w:r>
            <w:r>
              <w:rPr>
                <w:rFonts w:ascii="Arial" w:cs="Arial" w:eastAsia="Arial" w:hAnsi="Arial"/>
                <w:sz w:val="18"/>
                <w:szCs w:val="18"/>
                <w:color w:val="auto"/>
                <w:vertAlign w:val="superscript"/>
              </w:rPr>
              <w:t>(a)</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Money market fund</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line="189" w:lineRule="exact"/>
              <w:rPr>
                <w:sz w:val="20"/>
                <w:szCs w:val="20"/>
                <w:color w:val="auto"/>
              </w:rPr>
            </w:pPr>
            <w:r>
              <w:rPr>
                <w:rFonts w:ascii="Arial" w:cs="Arial" w:eastAsia="Arial" w:hAnsi="Arial"/>
                <w:sz w:val="14"/>
                <w:szCs w:val="14"/>
                <w:color w:val="auto"/>
              </w:rPr>
              <w:t>Stable value fund</w:t>
            </w:r>
            <w:r>
              <w:rPr>
                <w:rFonts w:ascii="Arial" w:cs="Arial" w:eastAsia="Arial" w:hAnsi="Arial"/>
                <w:sz w:val="18"/>
                <w:szCs w:val="18"/>
                <w:color w:val="auto"/>
                <w:vertAlign w:val="superscript"/>
              </w:rPr>
              <w:t>(b)</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Held-to-maturity debt securities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exchange contracts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3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Investment in Technip Energies - </w:t>
      </w:r>
      <w:r>
        <w:rPr>
          <w:rFonts w:ascii="Arial" w:cs="Arial" w:eastAsia="Arial" w:hAnsi="Arial"/>
          <w:sz w:val="18"/>
          <w:szCs w:val="18"/>
          <w:color w:val="auto"/>
        </w:rPr>
        <w:t>The fair value of our investment in Technip Energies is based on quoted prices that we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in public markets, see Note 11 for further details.</w:t>
      </w:r>
    </w:p>
    <w:p>
      <w:pPr>
        <w:spacing w:after="0" w:line="10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Equity securities - </w:t>
      </w:r>
      <w:r>
        <w:rPr>
          <w:rFonts w:ascii="Arial" w:cs="Arial" w:eastAsia="Arial" w:hAnsi="Arial"/>
          <w:sz w:val="18"/>
          <w:szCs w:val="18"/>
          <w:color w:val="auto"/>
        </w:rPr>
        <w:t>The fair value measurement of our traded securities is based on quoted prices that we have the ability to access in public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w:t>
      </w:r>
    </w:p>
    <w:p>
      <w:pPr>
        <w:spacing w:after="0" w:line="108"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The stable value fund and money market fund are valued at the net asset value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at 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cost, which approximates fair value.</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Assets held for sale - </w:t>
      </w:r>
      <w:r>
        <w:rPr>
          <w:rFonts w:ascii="Arial" w:cs="Arial" w:eastAsia="Arial" w:hAnsi="Arial"/>
          <w:sz w:val="18"/>
          <w:szCs w:val="18"/>
          <w:color w:val="auto"/>
        </w:rPr>
        <w:t>The fair value of our assets held for sale was determined using a market approach that took into consideration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sales price. As of December 31, 2020, our G1200 vessel is classified as held for sale. In March 2021, we entered into a Memorandum of Agreement to sell the vessel. We completed the sale and received $48.0 million in cash proceeds during the second quarter of 2021.</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currently have no credit-risk-related contingent features in our agreements with the financial institutions that would require us to post collateral for derivative positions in a liability position. See Note 19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7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Fair value of long-lived, non-financial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carrying amounts of such assets may not be recoverable.</w:t>
      </w:r>
    </w:p>
    <w:p>
      <w:pPr>
        <w:spacing w:after="0" w:line="12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summarizes impairments of long-lived assets and related post-impairment fair value for the six months ended June 30, 2021 and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5"/>
                <w:szCs w:val="15"/>
                <w:color w:val="auto"/>
              </w:rPr>
            </w:pPr>
          </w:p>
        </w:tc>
        <w:tc>
          <w:tcPr>
            <w:tcW w:w="1220" w:type="dxa"/>
            <w:vAlign w:val="bottom"/>
          </w:tcPr>
          <w:p>
            <w:pPr>
              <w:jc w:val="right"/>
              <w:ind w:right="208"/>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Impairment</w:t>
            </w:r>
          </w:p>
        </w:tc>
        <w:tc>
          <w:tcPr>
            <w:tcW w:w="220" w:type="dxa"/>
            <w:vAlign w:val="bottom"/>
          </w:tcPr>
          <w:p>
            <w:pPr>
              <w:spacing w:after="0"/>
              <w:rPr>
                <w:sz w:val="15"/>
                <w:szCs w:val="15"/>
                <w:color w:val="auto"/>
              </w:rPr>
            </w:pPr>
          </w:p>
        </w:tc>
        <w:tc>
          <w:tcPr>
            <w:tcW w:w="1220" w:type="dxa"/>
            <w:vAlign w:val="bottom"/>
          </w:tcPr>
          <w:p>
            <w:pPr>
              <w:jc w:val="right"/>
              <w:ind w:right="228"/>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r>
      <w:tr>
        <w:trPr>
          <w:trHeight w:val="18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314.3</w:t>
            </w:r>
          </w:p>
        </w:tc>
      </w:tr>
    </w:tbl>
    <w:p>
      <w:pPr>
        <w:spacing w:after="0" w:line="16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Measured as of the impairment date using the income approach and a 10.8% risk-adjusted rate of interest, resulting in a Level 3 fair value measurement.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9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carrying amounts of cash and cash equivalents, trade receivables, accounts payable, short-term debt, commercial paper, debt associated with our bank borrowings, credit facilities, as well as amounts included in other current assets and other current liabilities that meet the definition of financial instruments, approximate fair value.</w:t>
      </w:r>
    </w:p>
    <w:p>
      <w:pPr>
        <w:spacing w:after="0" w:line="13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Fair value of debt </w:t>
      </w:r>
      <w:r>
        <w:rPr>
          <w:rFonts w:ascii="Arial" w:cs="Arial" w:eastAsia="Arial" w:hAnsi="Arial"/>
          <w:sz w:val="18"/>
          <w:szCs w:val="18"/>
          <w:color w:val="auto"/>
        </w:rPr>
        <w:t>- We use a market approach to determine the fair value of our fixed-rate debt using observable market data, which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in a Level 2 fair value measurement. The estimated fair value of our private placement notes, senior notes and synthetic bonds was $2,165.6 million and $2,199.2 million as of June 30, 2021 and December 31, 2020, respectively.</w:t>
      </w:r>
    </w:p>
    <w:p>
      <w:pPr>
        <w:spacing w:after="0" w:line="12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accordance with the Share Purchase Agreement between Technip-Coflexip UK Holdings Limited (“TUK”) and Island Offshore Management AS (“Island Offshore”) that was executed on March 12, 2018, whereby TUK initially purchased 51% of the shares of TIOS AS, a joint venture between TUK and Island Offshore (“TIOS”), TUK intends to acquire the remaining 49% interest in TIOS at a total price of $48.7 million. As of December 31, 2020 we owned a 51% share in TIOS and the redeemable non-controlling interest was recorded as mezzanine equity at fair value of $43.7 million. During the second quarter of 2021, the redeemable non-controlling interest was accreted to the redemption amount and classified as a current liability as of June 30, 2021 in our condensed consolidated balance sheet. See Note 9 for further details.</w:t>
      </w:r>
    </w:p>
    <w:p>
      <w:pPr>
        <w:spacing w:after="0" w:line="13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July 29, 2021 we announced the launch and pricing of the sale of 16 million Technip Energies shares, representing 9% of Technip Energies’ issued and outstanding share capital, through a private placement by way of an accelerated bookbuild offering (the “Placement”). The sale price of the shares in the Placement was set at € 11.20 per share, yielding total gross proceeds of €179.2 million or $212.8 million. Settlement for the Placement is expected to take place on or around August 3, 2021. TechnipFMC has agreed to a 60-day lock-up for its remaining shares in Technip Energies, subject to waiver from the Joint Global Coordinators and certain other customary exceptions. Upon completion of the Placement, TechnipFMC will retain a direct stake of 39.5 million shares, representing 22% of Technip Energies’ issued and outstanding share capital.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ind w:right="13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BUSINESS OUTLOOK</w:t>
      </w:r>
    </w:p>
    <w:p>
      <w:pPr>
        <w:spacing w:after="0" w:line="1" w:lineRule="exact"/>
        <w:rPr>
          <w:sz w:val="20"/>
          <w:szCs w:val="20"/>
          <w:color w:val="auto"/>
        </w:rPr>
      </w:pPr>
    </w:p>
    <w:p>
      <w:pPr>
        <w:jc w:val="both"/>
        <w:ind w:right="80"/>
        <w:spacing w:after="0" w:line="245"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The short-term outlook for crude oil has improved. Economic activity continues to expand, driven by strong fiscal stimulus,</w:t>
      </w:r>
      <w:r>
        <w:rPr>
          <w:rFonts w:ascii="Arial" w:cs="Arial" w:eastAsia="Arial" w:hAnsi="Arial"/>
          <w:sz w:val="18"/>
          <w:szCs w:val="18"/>
          <w:i w:val="1"/>
          <w:iCs w:val="1"/>
          <w:color w:val="auto"/>
        </w:rPr>
        <w:t xml:space="preserve"> </w:t>
      </w:r>
      <w:r>
        <w:rPr>
          <w:rFonts w:ascii="Arial" w:cs="Arial" w:eastAsia="Arial" w:hAnsi="Arial"/>
          <w:sz w:val="18"/>
          <w:szCs w:val="18"/>
          <w:color w:val="auto"/>
        </w:rPr>
        <w:t>COVID vaccinations and the re-opening of local economies. Oil prices have been supported by the industry’s more disciplined capital spend, particularly for OPEC+ countries which appear to be focused on realizing a price that supports both economic growth and continued energy investment. These conditions could also provide greater price stability over the intermediate term.</w:t>
      </w:r>
    </w:p>
    <w:p>
      <w:pPr>
        <w:spacing w:after="0" w:line="22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Long-term demand for energy is forecast to increase. Our conversations with clients remain constructive, and we see continued improvement in the broader market outlook as investments in new sources of oil and natural gas production increase over the intermediate-term. Looking beyond the strength of these traditional markets, we believe that offshore will continue to play a meaningful role in the total energy mix, including, in renewable energy resources.</w:t>
      </w:r>
    </w:p>
    <w:p>
      <w:pPr>
        <w:spacing w:after="0" w:line="21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color w:val="auto"/>
        </w:rPr>
        <w:t xml:space="preserve">Subsea </w:t>
      </w:r>
      <w:r>
        <w:rPr>
          <w:rFonts w:ascii="Arial" w:cs="Arial" w:eastAsia="Arial" w:hAnsi="Arial"/>
          <w:sz w:val="18"/>
          <w:szCs w:val="18"/>
          <w:color w:val="auto"/>
        </w:rPr>
        <w:t>– The strength of our inbound orders in the first half of the year has been indicative of the continued offshore market recovery and</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Innovative approaches to subsea projects, like our iEPCI™ solution, have improved project economics, and many offshore discoveries can be developed economically at today’s crude oil prices. We believe deepwater development is likely to remain a significant part of many of our customers’ portfolios.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the subsea industry continues to evolve, we have taken actions to further streamline our organization, achieve standardization and reduce cycle times. The rationalization of our global footprint will also further leverage the benefits of our integrated offering. We aim to continuously align our operations with activity levels, while preserving our core capacity in order to deliver current projects in backlog and future order activity.</w:t>
      </w:r>
    </w:p>
    <w:p>
      <w:pPr>
        <w:spacing w:after="0" w:line="23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have experienced renewed operator confidence in advancing subsea activity as a result of the improved economic outlook, lower market volatility and higher oil price. With crude above $60 per barrel, the opportunity set of large subsea projects to be sanctioned over the next 24 months has expanded.</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Front-end engineering and design (“FEED”) activity continues to improve. FEED activity in the current year is expected to return to the more robust levels seen in 2019, which further supports our view of a sustainable recovery for deepwater. We expect at least 60% of the projects undergoing studies in 2021 to include an iEPCI™ solution, many of which could be directly awarded to our Company upon reaching final investment decision.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TechnipFMC is increasingly less dependent on larger, publicly tendered projects.</w:t>
      </w:r>
    </w:p>
    <w:p>
      <w:pPr>
        <w:spacing w:after="0" w:line="9" w:lineRule="exact"/>
        <w:rPr>
          <w:sz w:val="20"/>
          <w:szCs w:val="20"/>
          <w:color w:val="auto"/>
        </w:rPr>
      </w:pPr>
    </w:p>
    <w:p>
      <w:pPr>
        <w:ind w:left="660" w:right="140" w:hanging="323"/>
        <w:spacing w:after="0" w:line="261" w:lineRule="auto"/>
        <w:tabs>
          <w:tab w:leader="none" w:pos="640" w:val="left"/>
        </w:tabs>
        <w:rPr>
          <w:sz w:val="20"/>
          <w:szCs w:val="20"/>
          <w:color w:val="auto"/>
        </w:rPr>
      </w:pPr>
      <w:r>
        <w:rPr>
          <w:rFonts w:ascii="Arial" w:cs="Arial" w:eastAsia="Arial" w:hAnsi="Arial"/>
          <w:sz w:val="18"/>
          <w:szCs w:val="18"/>
          <w:color w:val="auto"/>
        </w:rPr>
        <w:t>•</w:t>
        <w:tab/>
        <w:t>We anticipate that an increasing share of our inbound orders will result from projects that will be directly awarded to us, many of which may come from our alliance partners;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anticipate higher activity in subsea services, with the industry’s largest installed base; and</w:t>
      </w:r>
    </w:p>
    <w:p>
      <w:pPr>
        <w:spacing w:after="0" w:line="252"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a higher mix of iEPCI™ project awards, demonstrating strong geographic diversity and new adopters of our unique, integrated approach to subsea development.</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are confident that Subsea inbound orders in 2021 will exceed the $4 billion achieved in the prior year. We expect Brazil to be the most active region of the world for new project orders, driven by continued investment in the pre-salt field discoveries. We anticipate additional market growth potential coming from the North Sea, Asia Pacific and Africa. The strong front end activity we are experiencing today should further support project award momentum into 2022.</w:t>
      </w:r>
    </w:p>
    <w:p>
      <w:pPr>
        <w:spacing w:after="0" w:line="2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Surface Technologies </w:t>
      </w:r>
      <w:r>
        <w:rPr>
          <w:rFonts w:ascii="Arial" w:cs="Arial" w:eastAsia="Arial" w:hAnsi="Arial"/>
          <w:sz w:val="18"/>
          <w:szCs w:val="18"/>
          <w:color w:val="auto"/>
        </w:rPr>
        <w:t>– Our performance is typically driven by variations in global drilling activity, creating a dynamic environment.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can be further impacted by stimulation activity and the completions intensity of shale applications in North America.</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2021, we expect our completions-related revenue to outperform the overall market, driven by increased market adoption of iComplete™ – our fully integrated, digitally enabled pressure control system. iComplete™ has already</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3" w:name="page34"/>
    <w:bookmarkEnd w:id="33"/>
    <w:p>
      <w:pPr>
        <w:ind w:right="200"/>
        <w:spacing w:after="0" w:line="261" w:lineRule="auto"/>
        <w:rPr>
          <w:sz w:val="20"/>
          <w:szCs w:val="20"/>
          <w:color w:val="auto"/>
        </w:rPr>
      </w:pPr>
      <w:r>
        <w:rPr>
          <w:rFonts w:ascii="Arial" w:cs="Arial" w:eastAsia="Arial" w:hAnsi="Arial"/>
          <w:sz w:val="18"/>
          <w:szCs w:val="18"/>
          <w:color w:val="auto"/>
        </w:rPr>
        <w:t>achieved significant market penetration since its introduction in the third quarter of 2020, with more than 10 different customers utilizing the new integrated system.</w:t>
      </w:r>
    </w:p>
    <w:p>
      <w:pPr>
        <w:spacing w:after="0" w:line="22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Drilling activity in international markets is less cyclical than North America as most activity is driven by national oil companies, which tend to maintain a longer term view that exhibits less variability in capital spend. Additionally, we continue to benefit from our exposure to the Middle East, the North Sea and Asia Pacific.</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recent years, our international revenue has become a greater proportion of total segment revenue. We expect a gradual and steady recovery in well count in 2021 to drive modest international market growth, with spending increases led by national oil companies, particularly in the Middle East.</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unique capabilities in the international markets, which demand higher specification equipment, global services and local content, provide a platform for us to extend our leadership positions. We remain levered to these more resilient markets where we expect to source approximately 65% of our full year Surface Technologies revenue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JUNE 30, 2021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1,620.2</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1,442.5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1,450.7</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16)</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r>
      <w:tr>
        <w:trPr>
          <w:trHeight w:val="183"/>
        </w:trPr>
        <w:tc>
          <w:tcPr>
            <w:tcW w:w="5620" w:type="dxa"/>
            <w:vAlign w:val="bottom"/>
          </w:tcPr>
          <w:p>
            <w:pPr>
              <w:ind w:left="680"/>
              <w:spacing w:after="0"/>
              <w:rPr>
                <w:sz w:val="20"/>
                <w:szCs w:val="20"/>
                <w:color w:val="auto"/>
              </w:rPr>
            </w:pPr>
            <w:r>
              <w:rPr>
                <w:rFonts w:ascii="Arial" w:cs="Arial" w:eastAsia="Arial" w:hAnsi="Arial"/>
                <w:sz w:val="14"/>
                <w:szCs w:val="14"/>
                <w:b w:val="1"/>
                <w:bCs w:val="1"/>
                <w:color w:val="auto"/>
              </w:rPr>
              <w:t>Total costs and expenses</w:t>
            </w:r>
          </w:p>
        </w:tc>
        <w:tc>
          <w:tcPr>
            <w:tcW w:w="3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1,636.3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1,737.2</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16"/>
        </w:trPr>
        <w:tc>
          <w:tcPr>
            <w:tcW w:w="5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Other expense,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95.1</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 (Note 11)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Loss from investment in Technip Energies (Note 11)</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(146.8)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expense</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(148.2)</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7.1</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income taxes (Note 18)</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Loss from continuing operations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continuing operations attributable to non-controlling interests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Loss from continuing operations attributable to TechnipFMC plc</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(177.6)</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discontinued operations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Income from discontinued operations attributable to non-controlling interests</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100.0</w:t>
            </w:r>
          </w:p>
        </w:tc>
      </w:tr>
      <w:tr>
        <w:trPr>
          <w:trHeight w:val="20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(1,527.4)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increased $48.6 million during the three months ended June 30, 2021, compared to the same period in 2020. Subsea revenue increased year-over-year, primarily due to increased services activity in Norway and Africa. Surface Technologies revenue increased year-over-year, primarily driven by an increase in operator activity in North America, the success of our iComplete™ ecosystem and an increase in the project and services activity in the international market area.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Gross profit (revenue less cost of sales), as a percentage of sales, increased to 13.6% during the three months ended June 30, 2021, compared to 10.5% in the prior-year period. Subsea gross profit, as a percentage of sales, increased due to stronger operational performance and from lower operating costs. Surface Technologies gross profit, as a percentage of sales, increased year-over-year, driven by higher sales volume, improved execution and lower operating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Selling, general and administrative expense increased $14.8 million year-over-year. The increase is primarily driven by the increase associated with digital development activities and legal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incurred $2.0 million of restructuring, impairment and other charges during the three months ended June 30, 2021 compared to $103.6 million of restructuring, impairment and other charges incurred during the three months ended June 30, 2020. See Note 16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9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Other expense, net, primarily reflects foreign currency gains and losses, including gains and losses associated with the remeasurement of net cash positions and gains and losses on sales of property, plant and equipment. In the second quarter of 2021, we recognized $1.0 million of other losses, which primarily included $10.7 million of net foreign exchange losses. In the second quarter of 2020, we recognized $20.3 million of other losses, which primarily included $ 16.1 million of net foreign exchange losses. The change in foreign exchange gains and losses is primarily due to foreign exchange gains and losses from unhedged currencies and the effect of these foreign currencies’ exchange rate to a U.S. dollar on naturally hedged projects.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Investment in Technip Energies</w:t>
      </w:r>
    </w:p>
    <w:p>
      <w:pPr>
        <w:spacing w:after="0" w:line="261"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During the three months ended June 30, 2021, we recorded $146.8 million loss as a result of our investment in Technip Energies. The amount recognized primarily reflects a fair value revaluation loss of our investment. See Note 11 for further details.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Net interest expense of $35.2 million increased $8.6 million in the three months ended June 30, 2021, compared to the same period in 2020, primarily due to higher interest expense associated with the $1.0 billion senior notes issued during the three months ended March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0"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222222"/>
        </w:rPr>
        <w:t xml:space="preserve">Our provision for income taxes for </w:t>
      </w:r>
      <w:r>
        <w:rPr>
          <w:rFonts w:ascii="Arial" w:cs="Arial" w:eastAsia="Arial" w:hAnsi="Arial"/>
          <w:sz w:val="18"/>
          <w:szCs w:val="18"/>
          <w:color w:val="000000"/>
        </w:rPr>
        <w:t>three months ended June 30, 2021 and 2020</w:t>
      </w:r>
      <w:r>
        <w:rPr>
          <w:rFonts w:ascii="Arial" w:cs="Arial" w:eastAsia="Arial" w:hAnsi="Arial"/>
          <w:sz w:val="18"/>
          <w:szCs w:val="18"/>
          <w:color w:val="222222"/>
        </w:rPr>
        <w:t xml:space="preserve"> reflected effective tax rates of </w:t>
      </w:r>
      <w:r>
        <w:rPr>
          <w:rFonts w:ascii="Arial" w:cs="Arial" w:eastAsia="Arial" w:hAnsi="Arial"/>
          <w:sz w:val="18"/>
          <w:szCs w:val="18"/>
          <w:color w:val="000000"/>
        </w:rPr>
        <w:t>(25.3)% and (18.6)%,</w:t>
      </w:r>
      <w:r>
        <w:rPr>
          <w:rFonts w:ascii="Arial" w:cs="Arial" w:eastAsia="Arial" w:hAnsi="Arial"/>
          <w:sz w:val="18"/>
          <w:szCs w:val="18"/>
          <w:color w:val="222222"/>
        </w:rPr>
        <w:t xml:space="preserve"> </w:t>
      </w:r>
      <w:r>
        <w:rPr>
          <w:rFonts w:ascii="Arial" w:cs="Arial" w:eastAsia="Arial" w:hAnsi="Arial"/>
          <w:sz w:val="18"/>
          <w:szCs w:val="18"/>
          <w:color w:val="000000"/>
        </w:rPr>
        <w:t>respectively. The year-over-year decrease in the effective tax rate was primarily due to the increased impact of losses in jurisdictions with a full valuation allowance, and a change in geographical profit mix year over year.</w:t>
      </w:r>
    </w:p>
    <w:p>
      <w:pPr>
        <w:spacing w:after="0" w:line="23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222222"/>
        </w:rPr>
        <w:t>Our effective tax rate can fluctuate depending on our country mix of earnings, since our foreign earnings are generally subject to higher tax rates than in the 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Discontinued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Income from discontinued operations, net of income taxes was $7.7 million and $191.1 million for the three months ended June 30, 2021 and </w:t>
      </w:r>
      <w:r>
        <w:rPr>
          <w:rFonts w:ascii="Arial" w:cs="Arial" w:eastAsia="Arial" w:hAnsi="Arial"/>
          <w:sz w:val="18"/>
          <w:szCs w:val="18"/>
          <w:color w:val="000000"/>
        </w:rPr>
        <w:t>2020</w:t>
      </w:r>
      <w:r>
        <w:rPr>
          <w:rFonts w:ascii="Arial" w:cs="Arial" w:eastAsia="Arial" w:hAnsi="Arial"/>
          <w:sz w:val="18"/>
          <w:szCs w:val="18"/>
          <w:color w:val="222222"/>
        </w:rPr>
        <w:t>, respectively. Income from discontinued operations included results for Technip Energies, which was spun-off on February 16, 2021.</w:t>
      </w:r>
      <w:r>
        <w:rPr>
          <w:rFonts w:ascii="Arial" w:cs="Arial" w:eastAsia="Arial" w:hAnsi="Arial"/>
          <w:sz w:val="18"/>
          <w:szCs w:val="18"/>
          <w:color w:val="000000"/>
        </w:rPr>
        <w:t xml:space="preserve"> </w:t>
      </w:r>
      <w:r>
        <w:rPr>
          <w:rFonts w:ascii="Arial" w:cs="Arial" w:eastAsia="Arial" w:hAnsi="Arial"/>
          <w:sz w:val="18"/>
          <w:szCs w:val="18"/>
          <w:color w:val="222222"/>
        </w:rPr>
        <w:t>See Note 2 for further details.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3,202.8</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2,883.7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2,854.8</w:t>
            </w:r>
          </w:p>
        </w:tc>
        <w:tc>
          <w:tcPr>
            <w:tcW w:w="1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16)</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3,302.7</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(3,275.2)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3,267.1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6,561.1</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(3,294.0)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w:t>
            </w:r>
          </w:p>
        </w:tc>
      </w:tr>
      <w:tr>
        <w:trPr>
          <w:trHeight w:val="216"/>
        </w:trPr>
        <w:tc>
          <w:tcPr>
            <w:tcW w:w="5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222.7</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 (Note 11)</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Income from investment in Technip Energies (Note 11)</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323.3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323.3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early extinguishment of debt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interest expense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(3,399.3)</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3,718.2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income taxes (Note 18)</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1,250.0</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(3,403.7)</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3,663.2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from continuing operations attributable to non-controlling interests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attributable to TechnipFMC plc</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(3,412.4)</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3,658.4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w:t>
            </w:r>
          </w:p>
        </w:tc>
      </w:tr>
      <w:tr>
        <w:trPr>
          <w:trHeight w:val="189"/>
        </w:trPr>
        <w:tc>
          <w:tcPr>
            <w:tcW w:w="5620" w:type="dxa"/>
            <w:vAlign w:val="bottom"/>
          </w:tcPr>
          <w:p>
            <w:pPr>
              <w:ind w:left="240"/>
              <w:spacing w:after="0"/>
              <w:rPr>
                <w:sz w:val="20"/>
                <w:szCs w:val="20"/>
                <w:color w:val="auto"/>
              </w:rPr>
            </w:pPr>
            <w:r>
              <w:rPr>
                <w:rFonts w:ascii="Arial" w:cs="Arial" w:eastAsia="Arial" w:hAnsi="Arial"/>
                <w:sz w:val="14"/>
                <w:szCs w:val="14"/>
                <w:color w:val="auto"/>
              </w:rPr>
              <w:t>Income (loss) from discontinued operations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173.3</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(225.8)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(130.3)</w:t>
            </w:r>
          </w:p>
        </w:tc>
      </w:tr>
      <w:tr>
        <w:trPr>
          <w:trHeight w:val="189"/>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from discontinued operations attributable to non-controlling interests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(3,244.4)</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3,445.6</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Revenue increased $98.0 million during the six months ended June 30, 2021, compared to the same period in 2020. Subsea revenue increased year-over-year primarily, due to increased project and services activity. This increase was offset by a decrease in revenue in our Surface Technologies segment, primarily as a result of the significant decline in operator activity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(revenue less cost of sales), as a percentage of sales, increased to 12.6% during the six months ended June 30, 2021, compared to 10.9% in the prior-year period. Subsea gross profit, as a percentage of sales, increased due to stronger operational performance and from lower operating costs. Surface Technologies gross profit, as a percentage of sales, increased year-over-year despite lower sales volume due to improved execution and lower operating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general and administrative expense decreased $32.9 million year-over-year. During the first half of 2020, in response to a deteriorated market environment driven in part by the COVID-19 pandemic, we implemented a series of cost reduction initiatives that resulted in significant reduction in year-over-year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9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We incurred $27.5 million of restructuring, impairment and other charges during the six months ended June 30, 2021, compared to $3,302.7 million of restructuring, impairment and other charges incurred during the six months ended June 30, 2020. See Note 16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and other non-operating gains and losses. During the six months ended June 30, 2021, we recognized $34.6 million of other income, which primarily included $17.4 million of net foreign exchange gains. During the six months ended June 30, 2020, we recognized $28.2 million of other expenses, which primarily included $39.2 million of net foreign exchange losses. The change in foreign exchange gains and losses is primarily due to foreign exchange gains from unhedged currencies and the effects of a stronger U.S. dollar on naturally hedged projects.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Investment in Technip Energies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we recorded $323.3 million as income as a result of our investment in Technip Energies. The amount recognized comprises a purchase price discount on the sales of shares and a fair value revaluation gain of our investment. See Note 11 for further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61"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Net interest expense of $69.7 million increased $20.1 million in the six months ended June 30, 2021, compared to the same period in 2020, primarily due to higher interest expense associated with the $1.0 billion senior notes issued during the three months ended March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2"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Our provision for income taxes for the six months ended June 30, 2021 and 2020 reflected effective tax rates of 18.6% and (0.1)%, respectively. The year-over-year increase in the effective tax rate was primarily due to the increased impact of losses in jurisdictions with a full valuation allowance, and a change in geographical profit mix year over year.</w:t>
      </w:r>
    </w:p>
    <w:p>
      <w:pPr>
        <w:spacing w:after="0" w:line="23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Discontinued Operations</w:t>
      </w:r>
    </w:p>
    <w:p>
      <w:pPr>
        <w:spacing w:after="0" w:line="261"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222222"/>
        </w:rPr>
        <w:t xml:space="preserve">Income (loss) from discontinued operations, net of income taxes was $52.5 million loss and $173.3 million income for the </w:t>
      </w:r>
      <w:r>
        <w:rPr>
          <w:rFonts w:ascii="Arial" w:cs="Arial" w:eastAsia="Arial" w:hAnsi="Arial"/>
          <w:sz w:val="18"/>
          <w:szCs w:val="18"/>
          <w:color w:val="000000"/>
        </w:rPr>
        <w:t>six months ended</w:t>
      </w:r>
      <w:r>
        <w:rPr>
          <w:rFonts w:ascii="Arial" w:cs="Arial" w:eastAsia="Arial" w:hAnsi="Arial"/>
          <w:sz w:val="18"/>
          <w:szCs w:val="18"/>
          <w:color w:val="222222"/>
        </w:rPr>
        <w:t xml:space="preserve"> </w:t>
      </w:r>
      <w:r>
        <w:rPr>
          <w:rFonts w:ascii="Arial" w:cs="Arial" w:eastAsia="Arial" w:hAnsi="Arial"/>
          <w:sz w:val="18"/>
          <w:szCs w:val="18"/>
          <w:color w:val="000000"/>
        </w:rPr>
        <w:t xml:space="preserve">June 30, 2021 </w:t>
      </w:r>
      <w:r>
        <w:rPr>
          <w:rFonts w:ascii="Arial" w:cs="Arial" w:eastAsia="Arial" w:hAnsi="Arial"/>
          <w:sz w:val="18"/>
          <w:szCs w:val="18"/>
          <w:color w:val="222222"/>
        </w:rPr>
        <w:t>and</w:t>
      </w:r>
      <w:r>
        <w:rPr>
          <w:rFonts w:ascii="Arial" w:cs="Arial" w:eastAsia="Arial" w:hAnsi="Arial"/>
          <w:sz w:val="18"/>
          <w:szCs w:val="18"/>
          <w:color w:val="000000"/>
        </w:rPr>
        <w:t xml:space="preserve"> 2020</w:t>
      </w:r>
      <w:r>
        <w:rPr>
          <w:rFonts w:ascii="Arial" w:cs="Arial" w:eastAsia="Arial" w:hAnsi="Arial"/>
          <w:sz w:val="18"/>
          <w:szCs w:val="18"/>
          <w:color w:val="222222"/>
        </w:rPr>
        <w:t>, respectively. Income (loss) from discontinued operations included results for Technip Energies, which was spun-off</w:t>
      </w:r>
      <w:r>
        <w:rPr>
          <w:rFonts w:ascii="Arial" w:cs="Arial" w:eastAsia="Arial" w:hAnsi="Arial"/>
          <w:sz w:val="18"/>
          <w:szCs w:val="18"/>
          <w:color w:val="000000"/>
        </w:rPr>
        <w:t xml:space="preserve"> </w:t>
      </w:r>
      <w:r>
        <w:rPr>
          <w:rFonts w:ascii="Arial" w:cs="Arial" w:eastAsia="Arial" w:hAnsi="Arial"/>
          <w:sz w:val="18"/>
          <w:szCs w:val="18"/>
          <w:color w:val="222222"/>
        </w:rPr>
        <w:t>on February 16, 2021. See Note 2 for further details.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JUNE 30, 2021 AND 2020</w:t>
      </w:r>
    </w:p>
    <w:p>
      <w:pPr>
        <w:spacing w:after="0" w:line="17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5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1,394.3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1,378.5</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148.0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195.8</w:t>
            </w:r>
          </w:p>
        </w:tc>
      </w:tr>
      <w:tr>
        <w:trPr>
          <w:trHeight w:val="216"/>
        </w:trPr>
        <w:tc>
          <w:tcPr>
            <w:tcW w:w="5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1"/>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10.7 pts.</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Subsea revenue increased $15.8 million or 1.1% year-over-year, primarily due to higher services activity in Norway and Africa.</w:t>
      </w:r>
    </w:p>
    <w:p>
      <w:pPr>
        <w:spacing w:after="0" w:line="2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Subsea operating profit for the three months ended June 30, 2021 improved versus the prior year, primarily due to the significant reduction in non-cash impairment charges as well as benefits from prior year cost reduction activities and increased installation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241.7</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196.3</w:t>
            </w:r>
          </w:p>
        </w:tc>
      </w:tr>
      <w:tr>
        <w:trPr>
          <w:trHeight w:val="216"/>
        </w:trPr>
        <w:tc>
          <w:tcPr>
            <w:tcW w:w="5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0"/>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10.2 pts.</w:t>
            </w:r>
          </w:p>
        </w:tc>
      </w:tr>
    </w:tbl>
    <w:p>
      <w:pPr>
        <w:spacing w:after="0" w:line="21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Surface Technologies revenue increased $32.8 million, or 13.6%, year-over-year, primarily driven by an increase in operator activity in North America and success of our iComplete™ ecosystem. Revenue outside of North America has continued to recover from the prior year declines. Nearly 65% of total segment revenue was generated outside of North America in the period.</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Surface Technologies operating profit improved versus the prior year, primarily due to increased activity, prior year cost reduction initiatives and the reduction in non-cash impairment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r>
    </w:tbl>
    <w:p>
      <w:pPr>
        <w:spacing w:after="0" w:line="161"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Corporate expenses increased by $13.8 million, or 83.6%, year-over-year, primarily due to increased costs associated with IT and legal support functions.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17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5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2,780.8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2,631.6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(2,826.3)</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2,935.7</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103.9</w:t>
            </w:r>
          </w:p>
        </w:tc>
      </w:tr>
      <w:tr>
        <w:trPr>
          <w:trHeight w:val="257"/>
        </w:trPr>
        <w:tc>
          <w:tcPr>
            <w:tcW w:w="5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190"/>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111.3 pts.</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Subsea revenue increased $149.2 million, or 5.7%, year-over-year, primarily due to higher project and services activity.</w:t>
      </w:r>
    </w:p>
    <w:p>
      <w:pPr>
        <w:spacing w:after="0" w:line="25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Subsea operating profit for the six months ended June 30, 2021 improved versus the prior year, primarily due to the significant reduction in non-cash impairment charges as well as prior year cost reduction activities and increased installation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571.2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(437.4)</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458.5</w:t>
            </w:r>
          </w:p>
        </w:tc>
        <w:tc>
          <w:tcPr>
            <w:tcW w:w="1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104.8</w:t>
            </w:r>
          </w:p>
        </w:tc>
      </w:tr>
      <w:tr>
        <w:trPr>
          <w:trHeight w:val="256"/>
        </w:trPr>
        <w:tc>
          <w:tcPr>
            <w:tcW w:w="5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191"/>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80.7 pts.</w:t>
            </w:r>
          </w:p>
        </w:tc>
      </w:tr>
    </w:tbl>
    <w:p>
      <w:pPr>
        <w:spacing w:after="0" w:line="21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Surface Technologies revenue decreased $51.2 million, or 9.0%, year-over-year, primarily driven by the significant reduction in operator activity in North America. Revenue outside of North America displayed resilience. Nearly 67% of total segment revenue was generated outside of North America in the period.</w:t>
      </w:r>
    </w:p>
    <w:p>
      <w:pPr>
        <w:spacing w:after="0" w:line="14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Surface Technologies operating profit improved versus the prior year, primarily due to the significant reduction in non-cash impairment charges as well as improvements in execution of and benefits from prior year cost reduction initiatives.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r>
    </w:tbl>
    <w:p>
      <w:pPr>
        <w:spacing w:after="0" w:line="337"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Corporate expenses increased by $12.3 million or 26.3% year-over-year, primarily due to increased costs associated with IT and legal support functions.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Income (loss) from continuing operations, excluding charges and credits, as well as measures derived from it;</w:t>
      </w:r>
    </w:p>
    <w:p>
      <w:pPr>
        <w:spacing w:after="0" w:line="9" w:lineRule="exact"/>
        <w:rPr>
          <w:sz w:val="20"/>
          <w:szCs w:val="20"/>
          <w:color w:val="auto"/>
        </w:rPr>
      </w:pPr>
    </w:p>
    <w:p>
      <w:pPr>
        <w:ind w:left="660" w:right="540" w:hanging="324"/>
        <w:spacing w:after="0" w:line="250" w:lineRule="auto"/>
        <w:rPr>
          <w:sz w:val="20"/>
          <w:szCs w:val="20"/>
          <w:color w:val="auto"/>
        </w:rPr>
      </w:pPr>
      <w:r>
        <w:rPr>
          <w:rFonts w:ascii="Arial" w:cs="Arial" w:eastAsia="Arial" w:hAnsi="Arial"/>
          <w:sz w:val="18"/>
          <w:szCs w:val="18"/>
          <w:color w:val="auto"/>
        </w:rPr>
        <w:t>– Income (loss) before net interest expense and taxes, excluding charges and credits (“Adjusted Operating profit”) and Adjusted Operating profit margin;</w:t>
      </w:r>
    </w:p>
    <w:p>
      <w:pPr>
        <w:ind w:left="340"/>
        <w:spacing w:after="0"/>
        <w:rPr>
          <w:sz w:val="20"/>
          <w:szCs w:val="20"/>
          <w:color w:val="auto"/>
        </w:rPr>
      </w:pPr>
      <w:r>
        <w:rPr>
          <w:rFonts w:ascii="Arial" w:cs="Arial" w:eastAsia="Arial" w:hAnsi="Arial"/>
          <w:sz w:val="18"/>
          <w:szCs w:val="18"/>
          <w:color w:val="auto"/>
        </w:rPr>
        <w:t>–  Adjusted diluted loss per share from continuing operations;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Depreciation and amortization, excluding charges and credits (“Adjusted Depreciation and Amortization”);</w:t>
      </w:r>
    </w:p>
    <w:p>
      <w:pPr>
        <w:spacing w:after="0" w:line="9" w:lineRule="exact"/>
        <w:rPr>
          <w:sz w:val="20"/>
          <w:szCs w:val="20"/>
          <w:color w:val="auto"/>
        </w:rPr>
      </w:pPr>
    </w:p>
    <w:p>
      <w:pPr>
        <w:ind w:left="660" w:right="620" w:hanging="324"/>
        <w:spacing w:after="0" w:line="250" w:lineRule="auto"/>
        <w:rPr>
          <w:sz w:val="20"/>
          <w:szCs w:val="20"/>
          <w:color w:val="auto"/>
        </w:rPr>
      </w:pPr>
      <w:r>
        <w:rPr>
          <w:rFonts w:ascii="Arial" w:cs="Arial" w:eastAsia="Arial" w:hAnsi="Arial"/>
          <w:sz w:val="18"/>
          <w:szCs w:val="18"/>
          <w:color w:val="auto"/>
        </w:rPr>
        <w:t>– Earnings before net interest expense, income taxes, depreciation and amortization, excluding charges and credits (“Adjusted EBITDA”) and Adjusted EBITDA margin;</w:t>
      </w:r>
    </w:p>
    <w:p>
      <w:pPr>
        <w:ind w:left="340"/>
        <w:spacing w:after="0"/>
        <w:rPr>
          <w:sz w:val="20"/>
          <w:szCs w:val="20"/>
          <w:color w:val="auto"/>
        </w:rPr>
      </w:pPr>
      <w:r>
        <w:rPr>
          <w:rFonts w:ascii="Arial" w:cs="Arial" w:eastAsia="Arial" w:hAnsi="Arial"/>
          <w:sz w:val="18"/>
          <w:szCs w:val="18"/>
          <w:color w:val="auto"/>
        </w:rPr>
        <w:t>–  Corporate expenses excluding charges and credits and foreign exchange impacts;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(debt) cash.</w:t>
      </w:r>
    </w:p>
    <w:p>
      <w:pPr>
        <w:spacing w:after="0" w:line="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our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ectPr>
          <w:pgSz w:w="11900" w:h="16838" w:orient="portrait"/>
          <w:cols w:equalWidth="0" w:num="1">
            <w:col w:w="11180"/>
          </w:cols>
          <w:pgMar w:left="320" w:top="125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type w:val="continuous"/>
        </w:sectPr>
      </w:pPr>
    </w:p>
    <w:bookmarkStart w:id="41" w:name="page42"/>
    <w:bookmarkEnd w:id="41"/>
    <w:p>
      <w:pPr>
        <w:spacing w:after="0" w:line="5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6"/>
              </w:rPr>
              <w:t>June 30, 2021</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Income (loss)</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Income attributable</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from continuing</w:t>
            </w:r>
          </w:p>
        </w:tc>
        <w:tc>
          <w:tcPr>
            <w:tcW w:w="13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to non-controlling</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before net</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9"/>
              </w:rPr>
              <w:t>operations</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00" w:type="dxa"/>
            <w:vAlign w:val="bottom"/>
          </w:tcPr>
          <w:p>
            <w:pPr>
              <w:spacing w:after="0"/>
              <w:rPr>
                <w:sz w:val="10"/>
                <w:szCs w:val="10"/>
                <w:color w:val="auto"/>
              </w:rPr>
            </w:pP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9"/>
              </w:rPr>
              <w:t>Provision for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Net interest</w:t>
            </w: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interest expense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27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TechnipFMC plc</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operations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7"/>
              </w:rPr>
              <w:t>income taxes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(Operating profit)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8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83"/>
        </w:trPr>
        <w:tc>
          <w:tcPr>
            <w:tcW w:w="2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27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Loss from investment in Technip Energies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Diluted loss per share from continuing operations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tcPr>
          <w:p>
            <w:pPr>
              <w:ind w:left="20"/>
              <w:spacing w:after="0" w:line="129"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780" w:type="dxa"/>
            <w:vAlign w:val="bottom"/>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6"/>
              </w:rPr>
              <w:t>Three Months Ended</w:t>
            </w: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6"/>
              </w:rPr>
              <w:t>June 30, 2020</w:t>
            </w: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Loss from</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Income attributable</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Loss before net</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9"/>
              </w:rPr>
              <w:t>continuing</w:t>
            </w:r>
          </w:p>
        </w:tc>
        <w:tc>
          <w:tcPr>
            <w:tcW w:w="13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to non-controlling</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9"/>
              </w:rPr>
              <w:t>operations</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00" w:type="dxa"/>
            <w:vAlign w:val="bottom"/>
          </w:tcPr>
          <w:p>
            <w:pPr>
              <w:spacing w:after="0"/>
              <w:rPr>
                <w:sz w:val="10"/>
                <w:szCs w:val="10"/>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9"/>
              </w:rPr>
              <w:t>Provision for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Net interest</w:t>
            </w:r>
          </w:p>
        </w:tc>
        <w:tc>
          <w:tcPr>
            <w:tcW w:w="1200" w:type="dxa"/>
            <w:vAlign w:val="bottom"/>
            <w:gridSpan w:val="3"/>
          </w:tcPr>
          <w:p>
            <w:pPr>
              <w:ind w:left="60"/>
              <w:spacing w:after="0" w:line="122" w:lineRule="exact"/>
              <w:rPr>
                <w:sz w:val="20"/>
                <w:szCs w:val="20"/>
                <w:color w:val="auto"/>
              </w:rPr>
            </w:pPr>
            <w:r>
              <w:rPr>
                <w:rFonts w:ascii="Arial" w:cs="Arial" w:eastAsia="Arial" w:hAnsi="Arial"/>
                <w:sz w:val="13"/>
                <w:szCs w:val="13"/>
                <w:b w:val="1"/>
                <w:bCs w:val="1"/>
                <w:color w:val="auto"/>
              </w:rPr>
              <w:t>interest expense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and income taxes</w:t>
            </w: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27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TechnipFMC plc</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operations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income taxes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(Operating profit)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8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84"/>
        </w:trPr>
        <w:tc>
          <w:tcPr>
            <w:tcW w:w="2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68"/>
        </w:trPr>
        <w:tc>
          <w:tcPr>
            <w:tcW w:w="278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77"/>
        </w:trPr>
        <w:tc>
          <w:tcPr>
            <w:tcW w:w="2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17.2</w:t>
            </w:r>
          </w:p>
        </w:tc>
        <w:tc>
          <w:tcPr>
            <w:tcW w:w="2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95.4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77.4</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780" w:type="dxa"/>
            <w:vAlign w:val="bottom"/>
          </w:tcPr>
          <w:p>
            <w:pPr>
              <w:ind w:left="20"/>
              <w:spacing w:after="0" w:line="129" w:lineRule="exact"/>
              <w:rPr>
                <w:sz w:val="20"/>
                <w:szCs w:val="20"/>
                <w:color w:val="auto"/>
              </w:rPr>
            </w:pPr>
            <w:r>
              <w:rPr>
                <w:rFonts w:ascii="Arial" w:cs="Arial" w:eastAsia="Arial" w:hAnsi="Arial"/>
                <w:sz w:val="13"/>
                <w:szCs w:val="13"/>
                <w:color w:val="auto"/>
                <w:w w:val="96"/>
              </w:rPr>
              <w:t>Diluted loss per share from continuing operations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(0.40)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20"/>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8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1"/>
        </w:trPr>
        <w:tc>
          <w:tcPr>
            <w:tcW w:w="3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7"/>
              </w:rPr>
              <w:t>Six Months Ended</w:t>
            </w: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6"/>
              </w:rPr>
              <w:t>June 30, 2021</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Net interest expense</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8"/>
              </w:rPr>
              <w:t>before net</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1"/>
        </w:trPr>
        <w:tc>
          <w:tcPr>
            <w:tcW w:w="3100" w:type="dxa"/>
            <w:vAlign w:val="bottom"/>
          </w:tcPr>
          <w:p>
            <w:pPr>
              <w:spacing w:after="0"/>
              <w:rPr>
                <w:sz w:val="10"/>
                <w:szCs w:val="10"/>
                <w:color w:val="auto"/>
              </w:rPr>
            </w:pPr>
          </w:p>
        </w:tc>
        <w:tc>
          <w:tcPr>
            <w:tcW w:w="11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from continuing</w:t>
            </w:r>
          </w:p>
        </w:tc>
        <w:tc>
          <w:tcPr>
            <w:tcW w:w="11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16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interest expense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operations</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0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0"/>
                <w:szCs w:val="10"/>
                <w:color w:val="auto"/>
              </w:rPr>
            </w:pPr>
          </w:p>
        </w:tc>
        <w:tc>
          <w:tcPr>
            <w:tcW w:w="12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and loss on early</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and income</w:t>
            </w: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Depreciation and</w:t>
            </w: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extinguishment of</w:t>
            </w:r>
          </w:p>
        </w:tc>
        <w:tc>
          <w:tcPr>
            <w:tcW w:w="116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taxes (Operating</w:t>
            </w:r>
          </w:p>
        </w:tc>
        <w:tc>
          <w:tcPr>
            <w:tcW w:w="1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TechnipFMC plc</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operations</w:t>
            </w: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debt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profit)</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93.2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605.3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0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83"/>
        </w:trPr>
        <w:tc>
          <w:tcPr>
            <w:tcW w:w="3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9"/>
        </w:trPr>
        <w:tc>
          <w:tcPr>
            <w:tcW w:w="3100" w:type="dxa"/>
            <w:vAlign w:val="bottom"/>
          </w:tcPr>
          <w:p>
            <w:pPr>
              <w:ind w:left="220"/>
              <w:spacing w:after="0"/>
              <w:rPr>
                <w:sz w:val="20"/>
                <w:szCs w:val="20"/>
                <w:color w:val="auto"/>
              </w:rPr>
            </w:pPr>
            <w:r>
              <w:rPr>
                <w:rFonts w:ascii="Arial" w:cs="Arial" w:eastAsia="Arial" w:hAnsi="Arial"/>
                <w:sz w:val="13"/>
                <w:szCs w:val="13"/>
                <w:color w:val="auto"/>
              </w:rPr>
              <w:t>Income from investment in Technip Energies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(323.3)</w:t>
            </w:r>
          </w:p>
        </w:tc>
        <w:tc>
          <w:tcPr>
            <w:tcW w:w="0" w:type="dxa"/>
            <w:vAlign w:val="bottom"/>
          </w:tcPr>
          <w:p>
            <w:pPr>
              <w:spacing w:after="0"/>
              <w:rPr>
                <w:sz w:val="1"/>
                <w:szCs w:val="1"/>
                <w:color w:val="auto"/>
              </w:rPr>
            </w:pPr>
          </w:p>
        </w:tc>
      </w:tr>
      <w:tr>
        <w:trPr>
          <w:trHeight w:val="201"/>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1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Diluted earnings per share from continuing operations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00" w:type="dxa"/>
            <w:vAlign w:val="bottom"/>
          </w:tcPr>
          <w:p>
            <w:pPr>
              <w:ind w:left="20"/>
              <w:spacing w:after="0" w:line="129"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00" w:type="dxa"/>
            <w:vAlign w:val="bottom"/>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5"/>
              </w:rPr>
              <w:t>Six Months Ended</w:t>
            </w: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6"/>
              </w:rPr>
              <w:t>June 30, 2020</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Loss from</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7"/>
              </w:rPr>
              <w:t>Loss before net</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expense, income</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1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expense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operations</w:t>
            </w: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00" w:type="dxa"/>
            <w:vAlign w:val="bottom"/>
          </w:tcPr>
          <w:p>
            <w:pPr>
              <w:spacing w:after="0"/>
              <w:rPr>
                <w:sz w:val="10"/>
                <w:szCs w:val="10"/>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9"/>
              </w:rPr>
              <w:t>Provision for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Net interest</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and income</w:t>
            </w: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Depreciation and</w:t>
            </w: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depreciation and</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taxes (Operating</w:t>
            </w:r>
          </w:p>
        </w:tc>
        <w:tc>
          <w:tcPr>
            <w:tcW w:w="1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72"/>
        </w:trPr>
        <w:tc>
          <w:tcPr>
            <w:tcW w:w="3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operations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expense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profit)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73"/>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(3,145.6)</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3,213.4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3,221.7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3,221.7</w:t>
            </w: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168"/>
        </w:trPr>
        <w:tc>
          <w:tcPr>
            <w:tcW w:w="324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(121.5)</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195.6</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2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Diluted loss per share from continuing operations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40" w:type="dxa"/>
            <w:vAlign w:val="bottom"/>
          </w:tcPr>
          <w:p>
            <w:pPr>
              <w:ind w:left="20"/>
              <w:spacing w:after="0" w:line="129"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43" w:name="page44"/>
    <w:bookmarkEnd w:id="43"/>
    <w:p>
      <w:pPr>
        <w:ind w:left="268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5"/>
          </w:tcPr>
          <w:p>
            <w:pPr>
              <w:jc w:val="center"/>
              <w:ind w:left="84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Surface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6"/>
              </w:rPr>
              <w:t>Foreign</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Exchange, net</w:t>
            </w:r>
          </w:p>
        </w:tc>
        <w:tc>
          <w:tcPr>
            <w:tcW w:w="280" w:type="dxa"/>
            <w:vAlign w:val="bottom"/>
          </w:tcPr>
          <w:p>
            <w:pPr>
              <w:spacing w:after="0"/>
              <w:rPr>
                <w:sz w:val="10"/>
                <w:szCs w:val="10"/>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8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Technologies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7"/>
              </w:rPr>
              <w:t>and Other</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1,394.3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274.5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1,668.8</w:t>
            </w:r>
          </w:p>
        </w:tc>
        <w:tc>
          <w:tcPr>
            <w:tcW w:w="0" w:type="dxa"/>
            <w:vAlign w:val="bottom"/>
          </w:tcPr>
          <w:p>
            <w:pPr>
              <w:spacing w:after="0"/>
              <w:rPr>
                <w:sz w:val="1"/>
                <w:szCs w:val="1"/>
                <w:color w:val="auto"/>
              </w:rPr>
            </w:pPr>
          </w:p>
        </w:tc>
      </w:tr>
      <w:tr>
        <w:trPr>
          <w:trHeight w:val="257"/>
        </w:trPr>
        <w:tc>
          <w:tcPr>
            <w:tcW w:w="4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256"/>
        </w:trPr>
        <w:tc>
          <w:tcPr>
            <w:tcW w:w="4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40" w:type="dxa"/>
            <w:vAlign w:val="bottom"/>
          </w:tcPr>
          <w:p>
            <w:pPr>
              <w:spacing w:after="0"/>
              <w:rPr>
                <w:sz w:val="16"/>
                <w:szCs w:val="16"/>
                <w:color w:val="auto"/>
              </w:rPr>
            </w:pP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Loss from investment in Technip Energies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146.8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Subtotal</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146.8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(loss)</w:t>
            </w: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154.1</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30.2</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margin, as reported</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margin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15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56" w:right="399" w:bottom="1440" w:gutter="0" w:footer="0" w:header="0"/>
          <w:type w:val="continuous"/>
        </w:sectPr>
      </w:pPr>
    </w:p>
    <w:bookmarkStart w:id="44" w:name="page45"/>
    <w:bookmarkEnd w:id="44"/>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5"/>
          </w:tcPr>
          <w:p>
            <w:pPr>
              <w:jc w:val="center"/>
              <w:ind w:left="84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309"/>
              <w:spacing w:after="0" w:line="115" w:lineRule="exact"/>
              <w:rPr>
                <w:sz w:val="20"/>
                <w:szCs w:val="20"/>
                <w:color w:val="auto"/>
              </w:rPr>
            </w:pPr>
            <w:r>
              <w:rPr>
                <w:rFonts w:ascii="Arial" w:cs="Arial" w:eastAsia="Arial" w:hAnsi="Arial"/>
                <w:sz w:val="13"/>
                <w:szCs w:val="13"/>
                <w:b w:val="1"/>
                <w:bCs w:val="1"/>
                <w:color w:val="auto"/>
              </w:rPr>
              <w:t>Surface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080" w:type="dxa"/>
            <w:vAlign w:val="bottom"/>
            <w:gridSpan w:val="2"/>
          </w:tcPr>
          <w:p>
            <w:pPr>
              <w:ind w:left="200"/>
              <w:spacing w:after="0" w:line="115" w:lineRule="exact"/>
              <w:rPr>
                <w:sz w:val="20"/>
                <w:szCs w:val="20"/>
                <w:color w:val="auto"/>
              </w:rPr>
            </w:pPr>
            <w:r>
              <w:rPr>
                <w:rFonts w:ascii="Arial" w:cs="Arial" w:eastAsia="Arial" w:hAnsi="Arial"/>
                <w:sz w:val="13"/>
                <w:szCs w:val="13"/>
                <w:b w:val="1"/>
                <w:bCs w:val="1"/>
                <w:color w:val="auto"/>
              </w:rPr>
              <w:t>Foreign</w:t>
            </w:r>
          </w:p>
        </w:tc>
        <w:tc>
          <w:tcPr>
            <w:tcW w:w="280" w:type="dxa"/>
            <w:vAlign w:val="bottom"/>
          </w:tcPr>
          <w:p>
            <w:pPr>
              <w:spacing w:after="0"/>
              <w:rPr>
                <w:sz w:val="10"/>
                <w:szCs w:val="10"/>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3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Technologies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Exchange, net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1,378.5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1,620.2</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40" w:type="dxa"/>
            <w:vAlign w:val="bottom"/>
          </w:tcPr>
          <w:p>
            <w:pPr>
              <w:spacing w:after="0"/>
              <w:rPr>
                <w:sz w:val="16"/>
                <w:szCs w:val="16"/>
                <w:color w:val="auto"/>
              </w:rPr>
            </w:pP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Direct COVID-19 expenses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27.4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Subtotal</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(loss)</w:t>
            </w: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99.6</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8.3</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margin, as reported</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margin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920" w:top="1440" w:right="9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Surface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Exchange, net</w:t>
            </w:r>
          </w:p>
        </w:tc>
        <w:tc>
          <w:tcPr>
            <w:tcW w:w="300" w:type="dxa"/>
            <w:vAlign w:val="bottom"/>
          </w:tcPr>
          <w:p>
            <w:pPr>
              <w:spacing w:after="0"/>
              <w:rPr>
                <w:sz w:val="11"/>
                <w:szCs w:val="11"/>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Expense</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2,780.8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520.0</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3,300.8</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21.1</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412.1</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9"/>
        </w:trPr>
        <w:tc>
          <w:tcPr>
            <w:tcW w:w="4360" w:type="dxa"/>
            <w:vAlign w:val="bottom"/>
          </w:tcPr>
          <w:p>
            <w:pPr>
              <w:ind w:left="220"/>
              <w:spacing w:after="0"/>
              <w:rPr>
                <w:sz w:val="20"/>
                <w:szCs w:val="20"/>
                <w:color w:val="auto"/>
              </w:rPr>
            </w:pPr>
            <w:r>
              <w:rPr>
                <w:rFonts w:ascii="Arial" w:cs="Arial" w:eastAsia="Arial" w:hAnsi="Arial"/>
                <w:sz w:val="14"/>
                <w:szCs w:val="14"/>
                <w:color w:val="auto"/>
              </w:rPr>
              <w:t>Income from investment in Technip Energies</w:t>
            </w:r>
          </w:p>
        </w:tc>
        <w:tc>
          <w:tcPr>
            <w:tcW w:w="2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(323.3)</w:t>
            </w: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20.7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(295.8)</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130.1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57.1</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9"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47" w:name="page48"/>
    <w:bookmarkEnd w:id="47"/>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Surface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2"/>
                <w:szCs w:val="12"/>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Expense</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Exchange, net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2,631.6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571.2</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3,202.8</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as reported (pre-tax)</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(2,826.3)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(3,349.7)</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6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2,809.0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412.7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3,221.7</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9"/>
        </w:trPr>
        <w:tc>
          <w:tcPr>
            <w:tcW w:w="4340" w:type="dxa"/>
            <w:vAlign w:val="bottom"/>
          </w:tcPr>
          <w:p>
            <w:pPr>
              <w:ind w:left="220"/>
              <w:spacing w:after="0"/>
              <w:rPr>
                <w:sz w:val="20"/>
                <w:szCs w:val="20"/>
                <w:color w:val="auto"/>
              </w:rPr>
            </w:pPr>
            <w:r>
              <w:rPr>
                <w:rFonts w:ascii="Arial" w:cs="Arial" w:eastAsia="Arial" w:hAnsi="Arial"/>
                <w:sz w:val="14"/>
                <w:szCs w:val="14"/>
                <w:color w:val="auto"/>
              </w:rPr>
              <w:t>Direct COVID-19 expenses</w:t>
            </w:r>
          </w:p>
        </w:tc>
        <w:tc>
          <w:tcPr>
            <w:tcW w:w="26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price accounting adjustment</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4340" w:type="dxa"/>
            <w:vAlign w:val="bottom"/>
          </w:tcPr>
          <w:p>
            <w:pPr>
              <w:ind w:left="480"/>
              <w:spacing w:after="0"/>
              <w:rPr>
                <w:sz w:val="20"/>
                <w:szCs w:val="20"/>
                <w:color w:val="auto"/>
              </w:rPr>
            </w:pPr>
            <w:r>
              <w:rPr>
                <w:rFonts w:ascii="Arial" w:cs="Arial" w:eastAsia="Arial" w:hAnsi="Arial"/>
                <w:sz w:val="14"/>
                <w:szCs w:val="14"/>
                <w:color w:val="auto"/>
              </w:rPr>
              <w:t>Subtotal</w:t>
            </w:r>
          </w:p>
        </w:tc>
        <w:tc>
          <w:tcPr>
            <w:tcW w:w="26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2,877.9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431.1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3,311.2</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profit (loss)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(39.2)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29"/>
        </w:trPr>
        <w:tc>
          <w:tcPr>
            <w:tcW w:w="4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6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204.4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32.8</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ind w:left="720"/>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-76.6 %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-104.6 %</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24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1,291.3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1,683.8</w:t>
            </w: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553.4</w:t>
            </w: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inbound orders</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8"/>
              </w:rPr>
              <w:t>1,559.5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698.8</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3,281.6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2,237.2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Backlog reflects the current expectations for the timing of project execution. See Note 5 for further details.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Order Backlog</w:t>
            </w:r>
          </w:p>
        </w:tc>
        <w:tc>
          <w:tcPr>
            <w:tcW w:w="0" w:type="dxa"/>
            <w:vAlign w:val="bottom"/>
          </w:tcPr>
          <w:p>
            <w:pPr>
              <w:spacing w:after="0"/>
              <w:rPr>
                <w:sz w:val="1"/>
                <w:szCs w:val="1"/>
                <w:color w:val="auto"/>
              </w:rPr>
            </w:pPr>
          </w:p>
        </w:tc>
      </w:tr>
      <w:tr>
        <w:trPr>
          <w:trHeight w:val="142"/>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2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6,876.0</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413.5</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7,312.0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7,289.5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Subsea backlog of $7.0 billion as of June 30, 2021 was composed of various subsea projects, including Total Mozambique LNG;</w:t>
      </w:r>
      <w:r>
        <w:rPr>
          <w:rFonts w:ascii="Arial" w:cs="Arial" w:eastAsia="Arial" w:hAnsi="Arial"/>
          <w:sz w:val="18"/>
          <w:szCs w:val="18"/>
          <w:i w:val="1"/>
          <w:iCs w:val="1"/>
          <w:color w:val="auto"/>
        </w:rPr>
        <w:t xml:space="preserve"> </w:t>
      </w:r>
      <w:r>
        <w:rPr>
          <w:rFonts w:ascii="Arial" w:cs="Arial" w:eastAsia="Arial" w:hAnsi="Arial"/>
          <w:sz w:val="18"/>
          <w:szCs w:val="18"/>
          <w:color w:val="auto"/>
        </w:rPr>
        <w:t>Eni Coral and Merakes; Petrobras Mero I and Mero II; Energean Karish North, El Amriya and Idku; ExxonMobil Payara; Petronas Limbayong; Reliance MJ-1; Equinor Breidablikk; Husky West White Rose; Chevron Gorgon Stage 2; Santos Barossa Phase I; Tullow Jubilee South East; Woodside Pyxis and Lambert Deep.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ind w:right="12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as of June 30, 2021 decreased by $53.1 million compared to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Given the short-cycle nature of the business, most orders are quickly converted into sales revenue; longer contracts are typically converted within 12 months.</w:t>
      </w:r>
    </w:p>
    <w:p>
      <w:pPr>
        <w:spacing w:after="0" w:line="122"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As of June 30, 2021, we had $593.6 million of non-consolidated order backlog in our Subsea segment. Non-consolidated order backlog reflects the proportional share of backlog related to joint ventures that is not consolidated due to our minority ownership position.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Most of our cash is managed centrally and flows through centralized bank accounts controlled and maintained by TechnipFMC globally and in many operating jurisdictions to best meet the liquidity needs of our global operations.</w:t>
      </w:r>
    </w:p>
    <w:p>
      <w:pPr>
        <w:spacing w:after="0" w:line="14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w:t>
      </w:r>
      <w:r>
        <w:rPr>
          <w:rFonts w:ascii="Arial" w:cs="Arial" w:eastAsia="Arial" w:hAnsi="Arial"/>
          <w:sz w:val="18"/>
          <w:szCs w:val="18"/>
          <w:i w:val="1"/>
          <w:iCs w:val="1"/>
          <w:color w:val="auto"/>
        </w:rPr>
        <w:t xml:space="preserve"> </w:t>
      </w:r>
      <w:r>
        <w:rPr>
          <w:rFonts w:ascii="Arial" w:cs="Arial" w:eastAsia="Arial" w:hAnsi="Arial"/>
          <w:sz w:val="18"/>
          <w:szCs w:val="18"/>
          <w:color w:val="auto"/>
        </w:rPr>
        <w:t>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47"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following table provides a reconciliation of our cash and cash equivalents to net debt, utilizing details of classifications from our condensed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1,269.2</w:t>
            </w:r>
          </w:p>
        </w:tc>
        <w:tc>
          <w:tcPr>
            <w:tcW w:w="0" w:type="dxa"/>
            <w:vAlign w:val="bottom"/>
          </w:tcPr>
          <w:p>
            <w:pPr>
              <w:spacing w:after="0"/>
              <w:rPr>
                <w:sz w:val="1"/>
                <w:szCs w:val="1"/>
                <w:color w:val="auto"/>
              </w:rPr>
            </w:pPr>
          </w:p>
        </w:tc>
      </w:tr>
      <w:tr>
        <w:trPr>
          <w:trHeight w:val="189"/>
        </w:trPr>
        <w:tc>
          <w:tcPr>
            <w:tcW w:w="790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3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(2,835.5)</w:t>
            </w:r>
          </w:p>
        </w:tc>
        <w:tc>
          <w:tcPr>
            <w:tcW w:w="0" w:type="dxa"/>
            <w:vAlign w:val="bottom"/>
          </w:tcPr>
          <w:p>
            <w:pPr>
              <w:spacing w:after="0"/>
              <w:rPr>
                <w:sz w:val="1"/>
                <w:szCs w:val="1"/>
                <w:color w:val="auto"/>
              </w:rPr>
            </w:pPr>
          </w:p>
        </w:tc>
      </w:tr>
      <w:tr>
        <w:trPr>
          <w:trHeight w:val="18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debt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5"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i w:val="1"/>
          <w:iCs w:val="1"/>
          <w:color w:val="auto"/>
        </w:rPr>
        <w:t xml:space="preserve">Operating cash flows from continuing operations </w:t>
      </w:r>
      <w:r>
        <w:rPr>
          <w:rFonts w:ascii="Arial" w:cs="Arial" w:eastAsia="Arial" w:hAnsi="Arial"/>
          <w:sz w:val="18"/>
          <w:szCs w:val="18"/>
          <w:color w:val="auto"/>
        </w:rPr>
        <w:t>- During the six months ended June 30, 2021 and 2020, we generated $95.6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used $415.6 million, respectively, in operating cash flows from continuing operations. The increase of $511.2 million in cash generated by operating activities from continuing operations was primarily due to timing differences on project milestones and improved working capital management actions.</w:t>
      </w:r>
    </w:p>
    <w:p>
      <w:pPr>
        <w:spacing w:after="0" w:line="12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Investing cash flows from continuing operations </w:t>
      </w:r>
      <w:r>
        <w:rPr>
          <w:rFonts w:ascii="Arial" w:cs="Arial" w:eastAsia="Arial" w:hAnsi="Arial"/>
          <w:sz w:val="18"/>
          <w:szCs w:val="18"/>
          <w:color w:val="auto"/>
        </w:rPr>
        <w:t>- Investing activities provided $470.5 million during the six months ended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used $114.9 million of cash during the six months ended June 30, 2020. The increase of $585.4 million in cash provided by investing activities was primarily due to the proceeds received from the sale of our investment in Technip Energies, the sales of assets and decreased capital expenditures during the six months ended June 30, 2021.</w:t>
      </w:r>
    </w:p>
    <w:p>
      <w:pPr>
        <w:spacing w:after="0" w:line="12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 xml:space="preserve">Financing cash flows from continuing operations </w:t>
      </w:r>
      <w:r>
        <w:rPr>
          <w:rFonts w:ascii="Arial" w:cs="Arial" w:eastAsia="Arial" w:hAnsi="Arial"/>
          <w:sz w:val="18"/>
          <w:szCs w:val="18"/>
          <w:color w:val="auto"/>
        </w:rPr>
        <w:t>- Financing activities used $955.8 million and provided $82.9 million of cash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and 2020, respectively. The increase in cash used by financing activities was primarily due to the increased debt pay down activity during the six months ended June 30,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Transactions in Connection with the Spin-off</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connection with the Spin-off, we executed a series of refinancing transactions, in order to provide a capital structure with sufficient cash resources to support future operating and investment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left="660" w:right="1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16, 2021, we entered into a credit agreement, which provides for a $1.0 billion three-year senior secured multicurrency revolving credit facility (“Revolving Credit Facility”), including a $450.0 million letter of credit subfacility;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January 29, 2021, we issued $1.0 billion of 6.50% senior notes due 2026 (the “2021 Notes”).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debt issuance described above along with the available cash on hand were used to fund:</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repayment of all $542.4 million of the outstanding Synthetic Convertible Bonds that matured in January 2021;</w:t>
      </w:r>
    </w:p>
    <w:p>
      <w:pPr>
        <w:spacing w:after="0" w:line="252" w:lineRule="exact"/>
        <w:rPr>
          <w:rFonts w:ascii="Arial" w:cs="Arial" w:eastAsia="Arial" w:hAnsi="Arial"/>
          <w:sz w:val="18"/>
          <w:szCs w:val="18"/>
          <w:color w:val="auto"/>
        </w:rPr>
      </w:pPr>
    </w:p>
    <w:p>
      <w:pPr>
        <w:jc w:val="both"/>
        <w:ind w:left="660" w:right="8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repayment of all $500.0 million aggregate principal amount of outstanding 3.45% Senior Notes due 2022. In connection with the repayment, we recorded a loss on extinguishment of debt of $23.5 million related to the difference between the amount paid and the net carrying value of the debt;</w:t>
      </w:r>
    </w:p>
    <w:p>
      <w:pPr>
        <w:spacing w:after="0" w:line="228" w:lineRule="exact"/>
        <w:rPr>
          <w:rFonts w:ascii="Arial" w:cs="Arial" w:eastAsia="Arial" w:hAnsi="Arial"/>
          <w:sz w:val="18"/>
          <w:szCs w:val="18"/>
          <w:color w:val="auto"/>
        </w:rPr>
      </w:pPr>
    </w:p>
    <w:p>
      <w:pPr>
        <w:ind w:left="660" w:right="2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termination of the $2.5 billion senior unsecured revolving credit facility we entered into on January 17, 2017; the termination of the €500.0 million Euro Facility entered into on May 19, 2020, and the termination of the CCFF Program entered into on May 19, 2020. In connection with the termination of these credit facilities, we repaid $830.9 million of the outstanding commercial paper borrowings; and</w:t>
      </w:r>
    </w:p>
    <w:p>
      <w:pPr>
        <w:spacing w:after="0" w:line="23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Availability of borrowings under the Revolving Credit Facility is reduced by the outstanding letters of credit issued against the facility. As of June 30, 2021, there were $72.9 million letters of credit outstanding and availability of borrowings under the Revolving Credit Facility was $927.1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were in compliance with all restrictive covenants under the Revolving Credit Facility. See Note 13 for further details.</w:t>
      </w:r>
    </w:p>
    <w:p>
      <w:pPr>
        <w:spacing w:after="0" w:line="153"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Credit Ratings </w:t>
      </w:r>
      <w:r>
        <w:rPr>
          <w:rFonts w:ascii="Arial" w:cs="Arial" w:eastAsia="Arial" w:hAnsi="Arial"/>
          <w:sz w:val="18"/>
          <w:szCs w:val="18"/>
          <w:color w:val="auto"/>
        </w:rPr>
        <w:t>- Our credit ratings with Standard and Poor’s (“S&amp;P”) are BB+ for our long-term unsecured, guaranteed debt (2021 Notes), BB</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long-term unsecured debt (the Private Placement notes) and B for our short-term debt and commercial paper program. Our credit ratings with Moody’s are Ba1 for our long-term unsecured, guaranteed debt and NP for our commercial paper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the purposes of mitigating the effect of the changes in exchange rates, we hold derivative financial instruments. Valuations of derivative assets and liabilities reflect the fair value of the instruments, including the values associated with counterparty risk. These values must also take into account our credit standing, thus including the valuation of the derivative instrument and the value of the net credit differential between the counterparties to the derivative contract. Adjustments to our derivative assets and liabilities related to credit risk were not material for any period presented.</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income approach was used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using the spread of similar companies in the same industry, of similar size, and with the same credit rating. See Note 20 for further details.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Outlook</w:t>
      </w:r>
    </w:p>
    <w:p>
      <w:pPr>
        <w:spacing w:after="0" w:line="193"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We are committed to a strong balance sheet and ample liquidity that that will enable us to avoid distress in cyclical troughs and access capital markets throughout the cycle. We believe our liquidity has and continues to exceed the level required to achieve this goal.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0" w:name="page51"/>
    <w:bookmarkEnd w:id="50"/>
    <w:p>
      <w:pPr>
        <w:ind w:right="20"/>
        <w:spacing w:after="0" w:line="254" w:lineRule="auto"/>
        <w:rPr>
          <w:sz w:val="20"/>
          <w:szCs w:val="20"/>
          <w:color w:val="auto"/>
        </w:rPr>
      </w:pPr>
      <w:r>
        <w:rPr>
          <w:rFonts w:ascii="Arial" w:cs="Arial" w:eastAsia="Arial" w:hAnsi="Arial"/>
          <w:sz w:val="18"/>
          <w:szCs w:val="18"/>
          <w:color w:val="auto"/>
        </w:rPr>
        <w:t>Our objective in financing our business is to maintain sufficient liquidity, adequate financial resources and financial flexibility in order to fund the requirements of our business. Our capital expenditures can be adjusted and managed to match market demand and activity levels. Based on current market conditions and our future expectations, our capital expenditures for 2021 are estimated to be approximately $250.0 million. Projected capital expenditures do not include any contingent capital that may be needed to respond to contract awards.</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April 27, 2021, we sold 25 million Technip Energies shares through a private placement by way of an accelerated bookbuild offering (the “Placement”). Concurrently with the Placement, Technip Energies purchased from TechnipFMC 1.8 million shares. This purchase was separate from the Placement. Upon completion of the Placement and the concurrent sale to Technip Energies, TechnipFMC retains a direct stake of 55.5 million shares, representing 31.1% of the issued and outstanding shares of Technip Energies.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intend to conduct an orderly sale of our remaining stake in Technip Energies over time and will use the proceeds from future sales to further reduce our net leverage. We do not intend to remain a long-term shareholder of Technip Energies and will exit our ownership stake in an orderly manner within a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Refer to our Annual Report on Form 10-K for the year ended December 31, 2020 for a discussion of our critical accounting estimates. During the six months ended June 30, 2021, there were no changes to our identified critical accounting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the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about these existing matters.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our compliance community in Brazil and globally.</w:t>
      </w:r>
    </w:p>
    <w:p>
      <w:pPr>
        <w:spacing w:after="0" w:line="15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51" w:name="page52"/>
    <w:bookmarkEnd w:id="51"/>
    <w:p>
      <w:pPr>
        <w:jc w:val="both"/>
        <w:ind w:right="42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a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the Company, see Part II, Item 7A, “Quantitative and Qualitative Disclosures About Market Risk,” in our Annual Report on Form 10-K for the year ended December 31, 2020. Our exposure to market risk has not changed materially since December 31, 2020.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As of June 30, 2021,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that our disclosure controls and procedures were effective as of June 30, 2021.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9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(“District Court”)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The shareholder also asserted a claim for alleged violation of Section 11 of the Securities Act in connection with the reporting of certain financial results in the Company’s Registration Statement on Form S-4 filed in 2016. On December 13, 2020, the parties filed a Stipulation and Agreement of Settlement to settle all claims asserted in the suit with prejudice. The Defendants entered into the Stipulation solely to eliminate the burden, expense, uncertainty and risk of further litigation, and denied, and continue to deny, each and all of the claims and contentions alleged by the shareholder plaintiff in this action. On December 16, 2020, the District Court entered an order preliminarily approving the settlement and ordering notice to the settlement class. On March 22, 2021, after a hearing, the Court entered a final judgment approving the settlement.</w:t>
      </w:r>
    </w:p>
    <w:p>
      <w:pPr>
        <w:spacing w:after="0" w:line="15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These actions and disputes can involve our agents, suppliers, clients, and join venture partners and can include claims related to payment of fees, service quality, and ownership arrangements, including certain put or call options.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the date of this filing, there have been no material changes or updates to our risk factors that were previously disclosed in Part I, Item 1A of our Annual Report on Form 10-K for the year ended December 31, 2020.</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June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purchases of equity securities during the three months ended June 30, 2021.</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680" w:type="dxa"/>
            <w:vAlign w:val="bottom"/>
            <w:gridSpan w:val="11"/>
          </w:tcPr>
          <w:p>
            <w:pPr>
              <w:spacing w:after="0"/>
              <w:rPr>
                <w:sz w:val="20"/>
                <w:szCs w:val="20"/>
                <w:color w:val="auto"/>
              </w:rPr>
            </w:pPr>
            <w:r>
              <w:rPr>
                <w:rFonts w:ascii="Arial" w:cs="Arial" w:eastAsia="Arial" w:hAnsi="Arial"/>
                <w:sz w:val="14"/>
                <w:szCs w:val="14"/>
                <w:b w:val="1"/>
                <w:bCs w:val="1"/>
                <w:color w:val="auto"/>
              </w:rPr>
              <w:t>Exhibit Description</w:t>
            </w:r>
          </w:p>
        </w:tc>
      </w:tr>
      <w:tr>
        <w:trPr>
          <w:trHeight w:val="155"/>
        </w:trPr>
        <w:tc>
          <w:tcPr>
            <w:tcW w:w="14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10.1</w:t>
            </w: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680" w:type="dxa"/>
            <w:vAlign w:val="bottom"/>
            <w:tcBorders>
              <w:top w:val="single" w:sz="8" w:color="auto"/>
            </w:tcBorders>
            <w:gridSpan w:val="11"/>
            <w:shd w:val="clear" w:color="auto" w:fill="CCEEFF"/>
          </w:tcPr>
          <w:p>
            <w:pPr>
              <w:spacing w:after="0" w:line="155" w:lineRule="exact"/>
              <w:rPr>
                <w:rFonts w:ascii="Arial" w:cs="Arial" w:eastAsia="Arial" w:hAnsi="Arial"/>
                <w:sz w:val="14"/>
                <w:szCs w:val="14"/>
                <w:color w:val="0000FF"/>
              </w:rPr>
            </w:pPr>
            <w:hyperlink w:anchor="page56">
              <w:r>
                <w:rPr>
                  <w:rFonts w:ascii="Arial" w:cs="Arial" w:eastAsia="Arial" w:hAnsi="Arial"/>
                  <w:sz w:val="14"/>
                  <w:szCs w:val="14"/>
                  <w:color w:val="0000FF"/>
                </w:rPr>
                <w:t>First Amendment, dated April 29, 2021, to the Credit Agreement, dated February 16, 2021, by and among TechnipFMC plc, JPMorgan Chase Bank,</w:t>
              </w:r>
            </w:hyperlink>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400" w:type="dxa"/>
            <w:vAlign w:val="bottom"/>
            <w:tcBorders>
              <w:top w:val="single" w:sz="8" w:color="0000FF"/>
            </w:tcBorders>
            <w:gridSpan w:val="10"/>
            <w:shd w:val="clear" w:color="auto" w:fill="CCEEFF"/>
          </w:tcPr>
          <w:p>
            <w:pPr>
              <w:spacing w:after="0" w:line="115" w:lineRule="exact"/>
              <w:rPr>
                <w:rFonts w:ascii="Arial" w:cs="Arial" w:eastAsia="Arial" w:hAnsi="Arial"/>
                <w:sz w:val="13"/>
                <w:szCs w:val="13"/>
                <w:color w:val="0000FF"/>
              </w:rPr>
            </w:pPr>
            <w:hyperlink w:anchor="page56">
              <w:r>
                <w:rPr>
                  <w:rFonts w:ascii="Arial" w:cs="Arial" w:eastAsia="Arial" w:hAnsi="Arial"/>
                  <w:sz w:val="13"/>
                  <w:szCs w:val="13"/>
                  <w:color w:val="0000FF"/>
                </w:rPr>
                <w:t>N.A., Citigroup Global Markets Inc. or an affiliate, DNB Capital, LLC or an affiliate, Société Générale, Sumitomo Mitsui Banking Corporation, Wells</w:t>
              </w:r>
            </w:hyperlink>
          </w:p>
        </w:tc>
        <w:tc>
          <w:tcPr>
            <w:tcW w:w="280" w:type="dxa"/>
            <w:vAlign w:val="bottom"/>
            <w:tcBorders>
              <w:top w:val="single" w:sz="8" w:color="CCEEFF"/>
            </w:tcBorders>
            <w:shd w:val="clear" w:color="auto" w:fill="CCEEFF"/>
          </w:tcPr>
          <w:p>
            <w:pPr>
              <w:spacing w:after="0"/>
              <w:rPr>
                <w:sz w:val="10"/>
                <w:szCs w:val="10"/>
                <w:color w:val="auto"/>
              </w:rPr>
            </w:pPr>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280" w:type="dxa"/>
            <w:vAlign w:val="bottom"/>
            <w:tcBorders>
              <w:top w:val="single" w:sz="8" w:color="0000FF"/>
            </w:tcBorders>
            <w:gridSpan w:val="8"/>
            <w:shd w:val="clear" w:color="auto" w:fill="CCEEFF"/>
          </w:tcPr>
          <w:p>
            <w:pPr>
              <w:spacing w:after="0" w:line="115" w:lineRule="exact"/>
              <w:rPr>
                <w:rFonts w:ascii="Arial" w:cs="Arial" w:eastAsia="Arial" w:hAnsi="Arial"/>
                <w:sz w:val="13"/>
                <w:szCs w:val="13"/>
                <w:color w:val="0000FF"/>
              </w:rPr>
            </w:pPr>
            <w:hyperlink w:anchor="page56">
              <w:r>
                <w:rPr>
                  <w:rFonts w:ascii="Arial" w:cs="Arial" w:eastAsia="Arial" w:hAnsi="Arial"/>
                  <w:sz w:val="13"/>
                  <w:szCs w:val="13"/>
                  <w:color w:val="0000FF"/>
                </w:rPr>
                <w:t>Fargo Securities, LLC and BofA Securities, Inc., collectively, as lead arrangers, JPMorgan Chase Bank, N.A., as administrative agent, Standard</w:t>
              </w:r>
            </w:hyperlink>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gridSpan w:val="2"/>
            <w:shd w:val="clear" w:color="auto" w:fill="CCEEFF"/>
          </w:tcPr>
          <w:p>
            <w:pPr>
              <w:spacing w:after="0"/>
              <w:rPr>
                <w:sz w:val="10"/>
                <w:szCs w:val="10"/>
                <w:color w:val="auto"/>
              </w:rPr>
            </w:pPr>
          </w:p>
        </w:tc>
      </w:tr>
      <w:tr>
        <w:trPr>
          <w:trHeight w:val="115"/>
        </w:trPr>
        <w:tc>
          <w:tcPr>
            <w:tcW w:w="1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120" w:type="dxa"/>
            <w:vAlign w:val="bottom"/>
            <w:tcBorders>
              <w:top w:val="single" w:sz="8" w:color="0000FF"/>
            </w:tcBorders>
            <w:gridSpan w:val="7"/>
            <w:shd w:val="clear" w:color="auto" w:fill="CCEEFF"/>
          </w:tcPr>
          <w:p>
            <w:pPr>
              <w:spacing w:after="0" w:line="115" w:lineRule="exact"/>
              <w:rPr>
                <w:rFonts w:ascii="Arial" w:cs="Arial" w:eastAsia="Arial" w:hAnsi="Arial"/>
                <w:sz w:val="13"/>
                <w:szCs w:val="13"/>
                <w:color w:val="0000FF"/>
              </w:rPr>
            </w:pPr>
            <w:hyperlink w:anchor="page56">
              <w:r>
                <w:rPr>
                  <w:rFonts w:ascii="Arial" w:cs="Arial" w:eastAsia="Arial" w:hAnsi="Arial"/>
                  <w:sz w:val="13"/>
                  <w:szCs w:val="13"/>
                  <w:color w:val="0000FF"/>
                </w:rPr>
                <w:t>Chartered Bank, as documentation agent, and the lenders party thereto</w:t>
              </w:r>
            </w:hyperlink>
          </w:p>
        </w:tc>
        <w:tc>
          <w:tcPr>
            <w:tcW w:w="260" w:type="dxa"/>
            <w:vAlign w:val="bottom"/>
            <w:tcBorders>
              <w:top w:val="single" w:sz="8" w:color="CCEEFF"/>
            </w:tcBorders>
            <w:gridSpan w:val="2"/>
            <w:shd w:val="clear" w:color="auto" w:fill="CCEEFF"/>
          </w:tcPr>
          <w:p>
            <w:pPr>
              <w:spacing w:after="0"/>
              <w:rPr>
                <w:sz w:val="10"/>
                <w:szCs w:val="10"/>
                <w:color w:val="auto"/>
              </w:rPr>
            </w:pPr>
          </w:p>
        </w:tc>
        <w:tc>
          <w:tcPr>
            <w:tcW w:w="300" w:type="dxa"/>
            <w:vAlign w:val="bottom"/>
            <w:tcBorders>
              <w:top w:val="single" w:sz="8" w:color="CCEEFF"/>
            </w:tcBorders>
            <w:gridSpan w:val="2"/>
            <w:shd w:val="clear" w:color="auto" w:fill="CCEEFF"/>
          </w:tcPr>
          <w:p>
            <w:pPr>
              <w:spacing w:after="0"/>
              <w:rPr>
                <w:sz w:val="10"/>
                <w:szCs w:val="10"/>
                <w:color w:val="auto"/>
              </w:rPr>
            </w:pPr>
          </w:p>
        </w:tc>
      </w:tr>
      <w:tr>
        <w:trPr>
          <w:trHeight w:val="27"/>
        </w:trPr>
        <w:tc>
          <w:tcPr>
            <w:tcW w:w="14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320" w:type="dxa"/>
            <w:vAlign w:val="bottom"/>
            <w:shd w:val="clear" w:color="auto" w:fill="0000FF"/>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62"/>
        </w:trPr>
        <w:tc>
          <w:tcPr>
            <w:tcW w:w="1440" w:type="dxa"/>
            <w:vAlign w:val="bottom"/>
          </w:tcPr>
          <w:p>
            <w:pPr>
              <w:ind w:left="2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4"/>
                <w:szCs w:val="14"/>
                <w:color w:val="auto"/>
              </w:rPr>
            </w:pPr>
          </w:p>
        </w:tc>
        <w:tc>
          <w:tcPr>
            <w:tcW w:w="9680" w:type="dxa"/>
            <w:vAlign w:val="bottom"/>
            <w:gridSpan w:val="11"/>
          </w:tcPr>
          <w:p>
            <w:pPr>
              <w:spacing w:after="0"/>
              <w:rPr>
                <w:rFonts w:ascii="Arial" w:cs="Arial" w:eastAsia="Arial" w:hAnsi="Arial"/>
                <w:sz w:val="14"/>
                <w:szCs w:val="14"/>
                <w:color w:val="0000FF"/>
              </w:rPr>
            </w:pPr>
            <w:hyperlink w:anchor="page251">
              <w:r>
                <w:rPr>
                  <w:rFonts w:ascii="Arial" w:cs="Arial" w:eastAsia="Arial" w:hAnsi="Arial"/>
                  <w:sz w:val="14"/>
                  <w:szCs w:val="14"/>
                  <w:color w:val="0000FF"/>
                </w:rPr>
                <w:t>Amendment No. 1, dated May 6, 2021, to the Relationship Agreement, dated as of January 7, 2021, by and among the Company, Technip Energies</w:t>
              </w:r>
            </w:hyperlink>
          </w:p>
        </w:tc>
      </w:tr>
      <w:tr>
        <w:trPr>
          <w:trHeight w:val="115"/>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380" w:type="dxa"/>
            <w:vAlign w:val="bottom"/>
            <w:tcBorders>
              <w:top w:val="single" w:sz="8" w:color="0000FF"/>
            </w:tcBorders>
            <w:gridSpan w:val="9"/>
          </w:tcPr>
          <w:p>
            <w:pPr>
              <w:spacing w:after="0" w:line="115" w:lineRule="exact"/>
              <w:rPr>
                <w:rFonts w:ascii="Arial" w:cs="Arial" w:eastAsia="Arial" w:hAnsi="Arial"/>
                <w:sz w:val="13"/>
                <w:szCs w:val="13"/>
                <w:color w:val="0000FF"/>
              </w:rPr>
            </w:pPr>
            <w:hyperlink w:anchor="page251">
              <w:r>
                <w:rPr>
                  <w:rFonts w:ascii="Arial" w:cs="Arial" w:eastAsia="Arial" w:hAnsi="Arial"/>
                  <w:sz w:val="13"/>
                  <w:szCs w:val="13"/>
                  <w:color w:val="0000FF"/>
                </w:rPr>
                <w:t>B.V. and Bpifrance Participations SA</w:t>
              </w:r>
            </w:hyperlink>
          </w:p>
        </w:tc>
        <w:tc>
          <w:tcPr>
            <w:tcW w:w="300" w:type="dxa"/>
            <w:vAlign w:val="bottom"/>
            <w:gridSpan w:val="2"/>
          </w:tcPr>
          <w:p>
            <w:pPr>
              <w:spacing w:after="0"/>
              <w:rPr>
                <w:sz w:val="10"/>
                <w:szCs w:val="10"/>
                <w:color w:val="auto"/>
              </w:rPr>
            </w:pPr>
          </w:p>
        </w:tc>
      </w:tr>
      <w:tr>
        <w:trPr>
          <w:trHeight w:val="27"/>
        </w:trPr>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shd w:val="clear" w:color="auto" w:fill="0000FF"/>
          </w:tcPr>
          <w:p>
            <w:pPr>
              <w:spacing w:after="0"/>
              <w:rPr>
                <w:sz w:val="2"/>
                <w:szCs w:val="2"/>
                <w:color w:val="auto"/>
              </w:rPr>
            </w:pPr>
          </w:p>
        </w:tc>
        <w:tc>
          <w:tcPr>
            <w:tcW w:w="2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9"/>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31.1</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5520" w:type="dxa"/>
            <w:vAlign w:val="bottom"/>
            <w:tcBorders>
              <w:bottom w:val="single" w:sz="8" w:color="0000FF"/>
            </w:tcBorders>
            <w:gridSpan w:val="4"/>
            <w:shd w:val="clear" w:color="auto" w:fill="CCEEFF"/>
          </w:tcPr>
          <w:p>
            <w:pPr>
              <w:spacing w:after="0"/>
              <w:rPr>
                <w:rFonts w:ascii="Arial" w:cs="Arial" w:eastAsia="Arial" w:hAnsi="Arial"/>
                <w:sz w:val="14"/>
                <w:szCs w:val="14"/>
                <w:color w:val="0000FF"/>
              </w:rPr>
            </w:pPr>
            <w:hyperlink w:anchor="page257">
              <w:r>
                <w:rPr>
                  <w:rFonts w:ascii="Arial" w:cs="Arial" w:eastAsia="Arial" w:hAnsi="Arial"/>
                  <w:sz w:val="14"/>
                  <w:szCs w:val="14"/>
                  <w:color w:val="0000FF"/>
                </w:rPr>
                <w:t>Certification of Chief Executive Officer Pursuant to Rule 13a-14(a) and Rule 15d-14(a).</w:t>
              </w:r>
            </w:hyperlink>
          </w:p>
        </w:tc>
        <w:tc>
          <w:tcPr>
            <w:tcW w:w="4160" w:type="dxa"/>
            <w:vAlign w:val="bottom"/>
            <w:tcBorders>
              <w:bottom w:val="single" w:sz="8" w:color="CCEEFF"/>
            </w:tcBorders>
            <w:gridSpan w:val="7"/>
            <w:shd w:val="clear" w:color="auto" w:fill="CCEEFF"/>
          </w:tcPr>
          <w:p>
            <w:pPr>
              <w:spacing w:after="0"/>
              <w:rPr>
                <w:sz w:val="14"/>
                <w:szCs w:val="14"/>
                <w:color w:val="auto"/>
              </w:rPr>
            </w:pPr>
          </w:p>
        </w:tc>
      </w:tr>
      <w:tr>
        <w:trPr>
          <w:trHeight w:val="169"/>
        </w:trPr>
        <w:tc>
          <w:tcPr>
            <w:tcW w:w="1440" w:type="dxa"/>
            <w:vAlign w:val="bottom"/>
          </w:tcPr>
          <w:p>
            <w:pPr>
              <w:ind w:left="2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4"/>
                <w:szCs w:val="14"/>
                <w:color w:val="auto"/>
              </w:rPr>
            </w:pPr>
          </w:p>
        </w:tc>
        <w:tc>
          <w:tcPr>
            <w:tcW w:w="5480" w:type="dxa"/>
            <w:vAlign w:val="bottom"/>
            <w:tcBorders>
              <w:bottom w:val="single" w:sz="8" w:color="0000FF"/>
            </w:tcBorders>
            <w:gridSpan w:val="3"/>
          </w:tcPr>
          <w:p>
            <w:pPr>
              <w:spacing w:after="0"/>
              <w:rPr>
                <w:rFonts w:ascii="Arial" w:cs="Arial" w:eastAsia="Arial" w:hAnsi="Arial"/>
                <w:sz w:val="14"/>
                <w:szCs w:val="14"/>
                <w:color w:val="0000FF"/>
              </w:rPr>
            </w:pPr>
            <w:hyperlink w:anchor="page258">
              <w:r>
                <w:rPr>
                  <w:rFonts w:ascii="Arial" w:cs="Arial" w:eastAsia="Arial" w:hAnsi="Arial"/>
                  <w:sz w:val="14"/>
                  <w:szCs w:val="14"/>
                  <w:color w:val="0000FF"/>
                </w:rPr>
                <w:t>Certification of Chief Financial Officer Pursuant to Rule 13a-14(a) and Rule 15d-14(a).</w:t>
              </w:r>
            </w:hyperlink>
          </w:p>
        </w:tc>
        <w:tc>
          <w:tcPr>
            <w:tcW w:w="4200" w:type="dxa"/>
            <w:vAlign w:val="bottom"/>
            <w:gridSpan w:val="8"/>
          </w:tcPr>
          <w:p>
            <w:pPr>
              <w:spacing w:after="0"/>
              <w:rPr>
                <w:sz w:val="14"/>
                <w:szCs w:val="14"/>
                <w:color w:val="auto"/>
              </w:rPr>
            </w:pPr>
          </w:p>
        </w:tc>
      </w:tr>
      <w:tr>
        <w:trPr>
          <w:trHeight w:val="169"/>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7000" w:type="dxa"/>
            <w:vAlign w:val="bottom"/>
            <w:tcBorders>
              <w:bottom w:val="single" w:sz="8" w:color="0000FF"/>
            </w:tcBorders>
            <w:gridSpan w:val="6"/>
            <w:shd w:val="clear" w:color="auto" w:fill="CCEEFF"/>
          </w:tcPr>
          <w:p>
            <w:pPr>
              <w:spacing w:after="0"/>
              <w:rPr>
                <w:rFonts w:ascii="Arial" w:cs="Arial" w:eastAsia="Arial" w:hAnsi="Arial"/>
                <w:sz w:val="14"/>
                <w:szCs w:val="14"/>
                <w:color w:val="0000FF"/>
              </w:rPr>
            </w:pPr>
            <w:hyperlink w:anchor="page260">
              <w:r>
                <w:rPr>
                  <w:rFonts w:ascii="Arial" w:cs="Arial" w:eastAsia="Arial" w:hAnsi="Arial"/>
                  <w:sz w:val="14"/>
                  <w:szCs w:val="14"/>
                  <w:color w:val="0000FF"/>
                </w:rPr>
                <w:t>Certification of Chief Executive Officer Under Section 906 of the Sarbanes-Oxley Act of 2002, 18 U.S.C. 1350.</w:t>
              </w:r>
            </w:hyperlink>
          </w:p>
        </w:tc>
        <w:tc>
          <w:tcPr>
            <w:tcW w:w="2680" w:type="dxa"/>
            <w:vAlign w:val="bottom"/>
            <w:tcBorders>
              <w:bottom w:val="single" w:sz="8" w:color="CCEEFF"/>
            </w:tcBorders>
            <w:gridSpan w:val="5"/>
            <w:shd w:val="clear" w:color="auto" w:fill="CCEEFF"/>
          </w:tcPr>
          <w:p>
            <w:pPr>
              <w:spacing w:after="0"/>
              <w:rPr>
                <w:sz w:val="14"/>
                <w:szCs w:val="14"/>
                <w:color w:val="auto"/>
              </w:rPr>
            </w:pPr>
          </w:p>
        </w:tc>
      </w:tr>
      <w:tr>
        <w:trPr>
          <w:trHeight w:val="169"/>
        </w:trPr>
        <w:tc>
          <w:tcPr>
            <w:tcW w:w="1440" w:type="dxa"/>
            <w:vAlign w:val="bottom"/>
          </w:tcPr>
          <w:p>
            <w:pPr>
              <w:ind w:left="2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4"/>
                <w:szCs w:val="14"/>
                <w:color w:val="auto"/>
              </w:rPr>
            </w:pPr>
          </w:p>
        </w:tc>
        <w:tc>
          <w:tcPr>
            <w:tcW w:w="6960" w:type="dxa"/>
            <w:vAlign w:val="bottom"/>
            <w:tcBorders>
              <w:bottom w:val="single" w:sz="8" w:color="0000FF"/>
            </w:tcBorders>
            <w:gridSpan w:val="5"/>
          </w:tcPr>
          <w:p>
            <w:pPr>
              <w:spacing w:after="0"/>
              <w:rPr>
                <w:rFonts w:ascii="Arial" w:cs="Arial" w:eastAsia="Arial" w:hAnsi="Arial"/>
                <w:sz w:val="14"/>
                <w:szCs w:val="14"/>
                <w:color w:val="0000FF"/>
              </w:rPr>
            </w:pPr>
            <w:hyperlink w:anchor="page261">
              <w:r>
                <w:rPr>
                  <w:rFonts w:ascii="Arial" w:cs="Arial" w:eastAsia="Arial" w:hAnsi="Arial"/>
                  <w:sz w:val="14"/>
                  <w:szCs w:val="14"/>
                  <w:color w:val="0000FF"/>
                </w:rPr>
                <w:t>Certification of Chief Financial Officer Under Section 906 of the Sarbanes-Oxley Act of 2002, 18 U.S.C. 1350.</w:t>
              </w:r>
            </w:hyperlink>
          </w:p>
        </w:tc>
        <w:tc>
          <w:tcPr>
            <w:tcW w:w="2720" w:type="dxa"/>
            <w:vAlign w:val="bottom"/>
            <w:gridSpan w:val="6"/>
          </w:tcPr>
          <w:p>
            <w:pPr>
              <w:spacing w:after="0"/>
              <w:rPr>
                <w:sz w:val="14"/>
                <w:szCs w:val="14"/>
                <w:color w:val="auto"/>
              </w:rPr>
            </w:pPr>
          </w:p>
        </w:tc>
      </w:tr>
      <w:tr>
        <w:trPr>
          <w:trHeight w:val="153"/>
        </w:trPr>
        <w:tc>
          <w:tcPr>
            <w:tcW w:w="1560" w:type="dxa"/>
            <w:vAlign w:val="bottom"/>
            <w:tcBorders>
              <w:right w:val="single" w:sz="8" w:color="CCEEFF"/>
            </w:tcBorders>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101.INS</w:t>
            </w:r>
          </w:p>
        </w:tc>
        <w:tc>
          <w:tcPr>
            <w:tcW w:w="9680" w:type="dxa"/>
            <w:vAlign w:val="bottom"/>
            <w:gridSpan w:val="11"/>
            <w:shd w:val="clear" w:color="auto" w:fill="CCEEFF"/>
          </w:tcPr>
          <w:p>
            <w:pPr>
              <w:spacing w:after="0" w:line="153" w:lineRule="exact"/>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w:t>
            </w:r>
          </w:p>
        </w:tc>
      </w:tr>
      <w:tr>
        <w:trPr>
          <w:trHeight w:val="171"/>
        </w:trPr>
        <w:tc>
          <w:tcPr>
            <w:tcW w:w="14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68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XBRL document.</w:t>
            </w:r>
          </w:p>
        </w:tc>
      </w:tr>
      <w:tr>
        <w:trPr>
          <w:trHeight w:val="189"/>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968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89"/>
        </w:trPr>
        <w:tc>
          <w:tcPr>
            <w:tcW w:w="1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101.CAL</w:t>
            </w:r>
          </w:p>
        </w:tc>
        <w:tc>
          <w:tcPr>
            <w:tcW w:w="968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89"/>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9680" w:type="dxa"/>
            <w:vAlign w:val="bottom"/>
            <w:gridSpan w:val="11"/>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9"/>
        </w:trPr>
        <w:tc>
          <w:tcPr>
            <w:tcW w:w="1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101.LAB</w:t>
            </w:r>
          </w:p>
        </w:tc>
        <w:tc>
          <w:tcPr>
            <w:tcW w:w="968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90"/>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9680" w:type="dxa"/>
            <w:vAlign w:val="bottom"/>
            <w:gridSpan w:val="11"/>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right="3980" w:firstLine="26"/>
        <w:spacing w:after="0" w:line="680" w:lineRule="auto"/>
        <w:tabs>
          <w:tab w:leader="none" w:pos="1557" w:val="left"/>
        </w:tabs>
        <w:numPr>
          <w:ilvl w:val="1"/>
          <w:numId w:val="15"/>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Furnished with this Quarterly Report on Form 10-Q.</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4" w:name="page55"/>
    <w:bookmarkEnd w:id="54"/>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683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Krisztina Doroghazi</w:t>
      </w:r>
    </w:p>
    <w:p>
      <w:pPr>
        <w:ind w:left="20"/>
        <w:spacing w:after="0" w:line="229" w:lineRule="auto"/>
        <w:rPr>
          <w:sz w:val="20"/>
          <w:szCs w:val="20"/>
          <w:color w:val="auto"/>
        </w:rPr>
      </w:pPr>
      <w:r>
        <w:rPr>
          <w:rFonts w:ascii="Arial" w:cs="Arial" w:eastAsia="Arial" w:hAnsi="Arial"/>
          <w:sz w:val="18"/>
          <w:szCs w:val="18"/>
          <w:color w:val="auto"/>
        </w:rPr>
        <w:t>Senior Vice President, Controller and Chief Accounting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Accounting Officer and a Duly 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1251" w:right="45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CREDIT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FIRST AMENDMENT TO CREDIT AGREEMENT, dated as of April 29, 2021 (this “</w:t>
      </w:r>
      <w:r>
        <w:rPr>
          <w:rFonts w:ascii="Arial" w:cs="Arial" w:eastAsia="Arial" w:hAnsi="Arial"/>
          <w:sz w:val="22"/>
          <w:szCs w:val="22"/>
          <w:u w:val="single" w:color="auto"/>
          <w:color w:val="auto"/>
        </w:rPr>
        <w:t>Amendment</w:t>
      </w:r>
      <w:r>
        <w:rPr>
          <w:rFonts w:ascii="Arial" w:cs="Arial" w:eastAsia="Arial" w:hAnsi="Arial"/>
          <w:sz w:val="22"/>
          <w:szCs w:val="22"/>
          <w:color w:val="auto"/>
        </w:rPr>
        <w:t>”), by and among TECHNIPFMC PLC, a public limited company incorporated under the laws of England and Wales (the “</w:t>
      </w:r>
      <w:r>
        <w:rPr>
          <w:rFonts w:ascii="Arial" w:cs="Arial" w:eastAsia="Arial" w:hAnsi="Arial"/>
          <w:sz w:val="22"/>
          <w:szCs w:val="22"/>
          <w:u w:val="single" w:color="auto"/>
          <w:color w:val="auto"/>
        </w:rPr>
        <w:t>Company</w:t>
      </w:r>
      <w:r>
        <w:rPr>
          <w:rFonts w:ascii="Arial" w:cs="Arial" w:eastAsia="Arial" w:hAnsi="Arial"/>
          <w:sz w:val="22"/>
          <w:szCs w:val="22"/>
          <w:color w:val="auto"/>
        </w:rPr>
        <w:t>”), FMC TECHNOLOGIES, INC., a Delaware corporation (the “</w:t>
      </w:r>
      <w:r>
        <w:rPr>
          <w:rFonts w:ascii="Arial" w:cs="Arial" w:eastAsia="Arial" w:hAnsi="Arial"/>
          <w:sz w:val="22"/>
          <w:szCs w:val="22"/>
          <w:u w:val="single" w:color="auto"/>
          <w:color w:val="auto"/>
        </w:rPr>
        <w:t>U.S. Borrower</w:t>
      </w:r>
      <w:r>
        <w:rPr>
          <w:rFonts w:ascii="Arial" w:cs="Arial" w:eastAsia="Arial" w:hAnsi="Arial"/>
          <w:sz w:val="22"/>
          <w:szCs w:val="22"/>
          <w:color w:val="auto"/>
        </w:rPr>
        <w:t>” and, together with the Company, the “</w:t>
      </w:r>
      <w:r>
        <w:rPr>
          <w:rFonts w:ascii="Arial" w:cs="Arial" w:eastAsia="Arial" w:hAnsi="Arial"/>
          <w:sz w:val="22"/>
          <w:szCs w:val="22"/>
          <w:u w:val="single" w:color="auto"/>
          <w:color w:val="auto"/>
        </w:rPr>
        <w:t>Borrowers</w:t>
      </w:r>
      <w:r>
        <w:rPr>
          <w:rFonts w:ascii="Arial" w:cs="Arial" w:eastAsia="Arial" w:hAnsi="Arial"/>
          <w:sz w:val="22"/>
          <w:szCs w:val="22"/>
          <w:color w:val="auto"/>
        </w:rPr>
        <w:t>”), the Lenders party hereto and JPMORGAN CHASE BANK, N.A., as Administrative Agent (in such capacity, the “</w:t>
      </w:r>
      <w:r>
        <w:rPr>
          <w:rFonts w:ascii="Arial" w:cs="Arial" w:eastAsia="Arial" w:hAnsi="Arial"/>
          <w:sz w:val="22"/>
          <w:szCs w:val="22"/>
          <w:u w:val="single" w:color="auto"/>
          <w:color w:val="auto"/>
        </w:rPr>
        <w:t>Administrative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the Borrowers are parties to that certain Credit Agreement, dated as of February 16, 2021 (as amended, restated, amended and restated, supplemented or otherwise modified from time to time prior to the date hereof, the “</w:t>
      </w:r>
      <w:r>
        <w:rPr>
          <w:rFonts w:ascii="Arial" w:cs="Arial" w:eastAsia="Arial" w:hAnsi="Arial"/>
          <w:sz w:val="19"/>
          <w:szCs w:val="19"/>
          <w:u w:val="single" w:color="auto"/>
          <w:color w:val="auto"/>
        </w:rPr>
        <w:t>Existing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as amended or otherwise modified by this Amendment,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Borrowers, the Lenders from time to time party thereto, the Issuing Banks from time to time party thereto and the Administrative Agent;</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Borrowers have requested that the Administrative Agent and the Lenders agree to amend the Existing Credit Agreement as set forth herein; and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subject to the terms and conditions set forth herein, the Administrative Agent and the Lenders party hereto are willing to agree to such amendments to the Existing Credit Agreement.</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NOW, THEREFORE, in consideration of the agreements contained herein, as well as other good and valuable consideration, the receipt and sufficiency of which are hereby acknowledged, the parties hereto agree as follows:</w:t>
      </w:r>
    </w:p>
    <w:p>
      <w:pPr>
        <w:spacing w:after="0" w:line="151" w:lineRule="exact"/>
        <w:rPr>
          <w:sz w:val="20"/>
          <w:szCs w:val="20"/>
          <w:color w:val="auto"/>
        </w:rPr>
      </w:pPr>
    </w:p>
    <w:p>
      <w:pPr>
        <w:ind w:left="4980"/>
        <w:spacing w:after="0"/>
        <w:rPr>
          <w:sz w:val="20"/>
          <w:szCs w:val="20"/>
          <w:color w:val="auto"/>
        </w:rPr>
      </w:pPr>
      <w:r>
        <w:rPr>
          <w:rFonts w:ascii="Arial" w:cs="Arial" w:eastAsia="Arial" w:hAnsi="Arial"/>
          <w:sz w:val="22"/>
          <w:szCs w:val="22"/>
          <w:color w:val="010000"/>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010000"/>
        </w:rPr>
        <w:t xml:space="preserve">SECTION 1.1. </w:t>
      </w:r>
      <w:r>
        <w:rPr>
          <w:rFonts w:ascii="Arial" w:cs="Arial" w:eastAsia="Arial" w:hAnsi="Arial"/>
          <w:sz w:val="22"/>
          <w:szCs w:val="22"/>
          <w:u w:val="single" w:color="auto"/>
          <w:color w:val="000000"/>
        </w:rPr>
        <w:t>Certain Definitions</w:t>
      </w:r>
      <w:r>
        <w:rPr>
          <w:rFonts w:ascii="Arial" w:cs="Arial" w:eastAsia="Arial" w:hAnsi="Arial"/>
          <w:sz w:val="22"/>
          <w:szCs w:val="22"/>
          <w:color w:val="000000"/>
        </w:rPr>
        <w:t>. Capitalized terms used (including in the preamble and recitals hereto) but not</w:t>
      </w:r>
      <w:r>
        <w:rPr>
          <w:rFonts w:ascii="Arial" w:cs="Arial" w:eastAsia="Arial" w:hAnsi="Arial"/>
          <w:sz w:val="22"/>
          <w:szCs w:val="22"/>
          <w:color w:val="010000"/>
        </w:rPr>
        <w:t xml:space="preserve"> </w:t>
      </w:r>
      <w:r>
        <w:rPr>
          <w:rFonts w:ascii="Arial" w:cs="Arial" w:eastAsia="Arial" w:hAnsi="Arial"/>
          <w:sz w:val="22"/>
          <w:szCs w:val="22"/>
          <w:color w:val="000000"/>
        </w:rPr>
        <w:t>defined herein shall have the meanings assigned to such terms in the Credit Agreement.</w:t>
      </w:r>
    </w:p>
    <w:p>
      <w:pPr>
        <w:spacing w:after="0" w:line="17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010000"/>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AMENDMENTS TO CREDIT AGREEMENT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SECTION 2.1. </w:t>
      </w:r>
      <w:r>
        <w:rPr>
          <w:rFonts w:ascii="Arial" w:cs="Arial" w:eastAsia="Arial" w:hAnsi="Arial"/>
          <w:sz w:val="22"/>
          <w:szCs w:val="22"/>
          <w:color w:val="000000"/>
        </w:rPr>
        <w:t>As of the First Amendment Effective Date, the Existing Credit Agreement shall hereby be amended</w:t>
      </w:r>
      <w:r>
        <w:rPr>
          <w:rFonts w:ascii="Arial" w:cs="Arial" w:eastAsia="Arial" w:hAnsi="Arial"/>
          <w:sz w:val="22"/>
          <w:szCs w:val="22"/>
          <w:color w:val="010000"/>
        </w:rPr>
        <w:t xml:space="preserve"> </w:t>
      </w:r>
      <w:r>
        <w:rPr>
          <w:rFonts w:ascii="Arial" w:cs="Arial" w:eastAsia="Arial" w:hAnsi="Arial"/>
          <w:sz w:val="22"/>
          <w:szCs w:val="22"/>
          <w:color w:val="000000"/>
        </w:rPr>
        <w:t xml:space="preserve">to delete the stricken text (indicated textually in the same manner as the following example: </w:t>
      </w:r>
      <w:r>
        <w:rPr>
          <w:rFonts w:ascii="Arial" w:cs="Arial" w:eastAsia="Arial" w:hAnsi="Arial"/>
          <w:sz w:val="22"/>
          <w:szCs w:val="22"/>
          <w:color w:val="FF0000"/>
          <w:strike w:val="1"/>
        </w:rPr>
        <w:t>stricken text</w:t>
      </w:r>
      <w:r>
        <w:rPr>
          <w:rFonts w:ascii="Arial" w:cs="Arial" w:eastAsia="Arial" w:hAnsi="Arial"/>
          <w:sz w:val="22"/>
          <w:szCs w:val="22"/>
          <w:color w:val="FF0000"/>
        </w:rPr>
        <w:t>)</w:t>
      </w:r>
      <w:r>
        <w:rPr>
          <w:rFonts w:ascii="Arial" w:cs="Arial" w:eastAsia="Arial" w:hAnsi="Arial"/>
          <w:sz w:val="22"/>
          <w:szCs w:val="22"/>
          <w:color w:val="000000"/>
        </w:rPr>
        <w:t xml:space="preserve"> and to add the double-underlined text (indicated textually in the same manner as the following example: </w:t>
      </w:r>
      <w:r>
        <w:rPr>
          <w:rFonts w:ascii="Arial" w:cs="Arial" w:eastAsia="Arial" w:hAnsi="Arial"/>
          <w:sz w:val="22"/>
          <w:szCs w:val="22"/>
          <w:u w:val="single" w:color="auto"/>
          <w:color w:val="0000FF"/>
        </w:rPr>
        <w:t>double-underlined text</w:t>
      </w:r>
      <w:r>
        <w:rPr>
          <w:rFonts w:ascii="Arial" w:cs="Arial" w:eastAsia="Arial" w:hAnsi="Arial"/>
          <w:sz w:val="22"/>
          <w:szCs w:val="22"/>
          <w:color w:val="0000FF"/>
        </w:rPr>
        <w:t>)</w:t>
      </w:r>
      <w:r>
        <w:rPr>
          <w:rFonts w:ascii="Arial" w:cs="Arial" w:eastAsia="Arial" w:hAnsi="Arial"/>
          <w:sz w:val="22"/>
          <w:szCs w:val="22"/>
          <w:color w:val="000000"/>
        </w:rPr>
        <w:t xml:space="preserve"> as set forth in the Credit Agreement attached hereto as </w:t>
      </w:r>
      <w:r>
        <w:rPr>
          <w:rFonts w:ascii="Arial" w:cs="Arial" w:eastAsia="Arial" w:hAnsi="Arial"/>
          <w:sz w:val="22"/>
          <w:szCs w:val="22"/>
          <w:u w:val="single" w:color="auto"/>
          <w:color w:val="000000"/>
        </w:rPr>
        <w:t>Exhibit A</w:t>
      </w:r>
      <w:r>
        <w:rPr>
          <w:rFonts w:ascii="Arial" w:cs="Arial" w:eastAsia="Arial" w:hAnsi="Arial"/>
          <w:sz w:val="22"/>
          <w:szCs w:val="22"/>
          <w:color w:val="000000"/>
        </w:rPr>
        <w: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SECTION 2.2. </w:t>
      </w:r>
      <w:r>
        <w:rPr>
          <w:rFonts w:ascii="Arial" w:cs="Arial" w:eastAsia="Arial" w:hAnsi="Arial"/>
          <w:sz w:val="22"/>
          <w:szCs w:val="22"/>
          <w:color w:val="000000"/>
        </w:rPr>
        <w:t>As of the First Amendment Effective Date, the Existing Credit Agreement is hereby further</w:t>
      </w:r>
      <w:r>
        <w:rPr>
          <w:rFonts w:ascii="Arial" w:cs="Arial" w:eastAsia="Arial" w:hAnsi="Arial"/>
          <w:sz w:val="22"/>
          <w:szCs w:val="22"/>
          <w:color w:val="010000"/>
        </w:rPr>
        <w:t xml:space="preserve"> </w:t>
      </w:r>
      <w:r>
        <w:rPr>
          <w:rFonts w:ascii="Arial" w:cs="Arial" w:eastAsia="Arial" w:hAnsi="Arial"/>
          <w:sz w:val="22"/>
          <w:szCs w:val="22"/>
          <w:color w:val="000000"/>
        </w:rPr>
        <w:t xml:space="preserve">amended by (a) deleting </w:t>
      </w:r>
      <w:r>
        <w:rPr>
          <w:rFonts w:ascii="Arial" w:cs="Arial" w:eastAsia="Arial" w:hAnsi="Arial"/>
          <w:sz w:val="22"/>
          <w:szCs w:val="22"/>
          <w:u w:val="single" w:color="auto"/>
          <w:color w:val="000000"/>
        </w:rPr>
        <w:t>Schedule 1.01(a)</w:t>
      </w:r>
      <w:r>
        <w:rPr>
          <w:rFonts w:ascii="Arial" w:cs="Arial" w:eastAsia="Arial" w:hAnsi="Arial"/>
          <w:sz w:val="22"/>
          <w:szCs w:val="22"/>
          <w:color w:val="000000"/>
        </w:rPr>
        <w:t xml:space="preserve"> thereto and inserting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39729743</w:t>
      </w:r>
    </w:p>
    <w:p>
      <w:pPr>
        <w:sectPr>
          <w:pgSz w:w="11900" w:h="16838" w:orient="portrait"/>
          <w:cols w:equalWidth="0" w:num="1">
            <w:col w:w="11240"/>
          </w:cols>
          <w:pgMar w:left="320" w:top="132" w:right="33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22"/>
          <w:szCs w:val="22"/>
          <w:color w:val="auto"/>
        </w:rPr>
        <w:t xml:space="preserve">new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thereto in the form of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hereto, (b) deleting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thereto and inserting a new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thereto in the form of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hereto, (c) deleting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thereto and inserting a new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2.01</w:t>
      </w:r>
      <w:r>
        <w:rPr>
          <w:rFonts w:ascii="Arial" w:cs="Arial" w:eastAsia="Arial" w:hAnsi="Arial"/>
          <w:sz w:val="22"/>
          <w:szCs w:val="22"/>
          <w:color w:val="auto"/>
        </w:rPr>
        <w:t xml:space="preserve"> thereto in the form of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hereto, (d) renaming </w:t>
      </w:r>
      <w:r>
        <w:rPr>
          <w:rFonts w:ascii="Arial" w:cs="Arial" w:eastAsia="Arial" w:hAnsi="Arial"/>
          <w:sz w:val="22"/>
          <w:szCs w:val="22"/>
          <w:u w:val="single" w:color="auto"/>
          <w:color w:val="auto"/>
        </w:rPr>
        <w:t>Schedule 6.02</w:t>
      </w:r>
      <w:r>
        <w:rPr>
          <w:rFonts w:ascii="Arial" w:cs="Arial" w:eastAsia="Arial" w:hAnsi="Arial"/>
          <w:sz w:val="22"/>
          <w:szCs w:val="22"/>
          <w:color w:val="auto"/>
        </w:rPr>
        <w:t xml:space="preserve"> thereto as “Schedule 6.02(A)” and (d) inserting a new </w:t>
      </w:r>
      <w:r>
        <w:rPr>
          <w:rFonts w:ascii="Arial" w:cs="Arial" w:eastAsia="Arial" w:hAnsi="Arial"/>
          <w:sz w:val="22"/>
          <w:szCs w:val="22"/>
          <w:u w:val="single" w:color="auto"/>
          <w:color w:val="auto"/>
        </w:rPr>
        <w:t>Schedule 6.02(B)</w:t>
      </w:r>
      <w:r>
        <w:rPr>
          <w:rFonts w:ascii="Arial" w:cs="Arial" w:eastAsia="Arial" w:hAnsi="Arial"/>
          <w:sz w:val="22"/>
          <w:szCs w:val="22"/>
          <w:color w:val="auto"/>
        </w:rPr>
        <w:t xml:space="preserve"> thereto in the form of </w:t>
      </w:r>
      <w:r>
        <w:rPr>
          <w:rFonts w:ascii="Arial" w:cs="Arial" w:eastAsia="Arial" w:hAnsi="Arial"/>
          <w:sz w:val="22"/>
          <w:szCs w:val="22"/>
          <w:u w:val="single" w:color="auto"/>
          <w:color w:val="auto"/>
        </w:rPr>
        <w:t>Schedule 6.02(B)</w:t>
      </w:r>
      <w:r>
        <w:rPr>
          <w:rFonts w:ascii="Arial" w:cs="Arial" w:eastAsia="Arial" w:hAnsi="Arial"/>
          <w:sz w:val="22"/>
          <w:szCs w:val="22"/>
          <w:color w:val="auto"/>
        </w:rPr>
        <w:t xml:space="preserve"> hereto.</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010000"/>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 TO EFFECTIVENESS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SECTION 3.1. </w:t>
      </w:r>
      <w:r>
        <w:rPr>
          <w:rFonts w:ascii="Arial" w:cs="Arial" w:eastAsia="Arial" w:hAnsi="Arial"/>
          <w:sz w:val="21"/>
          <w:szCs w:val="21"/>
          <w:color w:val="000000"/>
        </w:rPr>
        <w:t>The effectiveness of this Amendment (including the amendments contained in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Article II</w:t>
      </w:r>
      <w:r>
        <w:rPr>
          <w:rFonts w:ascii="Arial" w:cs="Arial" w:eastAsia="Arial" w:hAnsi="Arial"/>
          <w:sz w:val="21"/>
          <w:szCs w:val="21"/>
          <w:color w:val="000000"/>
        </w:rPr>
        <w:t>) (the date</w:t>
      </w:r>
      <w:r>
        <w:rPr>
          <w:rFonts w:ascii="Arial" w:cs="Arial" w:eastAsia="Arial" w:hAnsi="Arial"/>
          <w:sz w:val="21"/>
          <w:szCs w:val="21"/>
          <w:color w:val="010000"/>
        </w:rPr>
        <w:t xml:space="preserve"> </w:t>
      </w:r>
      <w:r>
        <w:rPr>
          <w:rFonts w:ascii="Arial" w:cs="Arial" w:eastAsia="Arial" w:hAnsi="Arial"/>
          <w:sz w:val="21"/>
          <w:szCs w:val="21"/>
          <w:color w:val="000000"/>
        </w:rPr>
        <w:t>of such effectiveness, the “</w:t>
      </w:r>
      <w:r>
        <w:rPr>
          <w:rFonts w:ascii="Arial" w:cs="Arial" w:eastAsia="Arial" w:hAnsi="Arial"/>
          <w:sz w:val="21"/>
          <w:szCs w:val="21"/>
          <w:u w:val="single" w:color="auto"/>
          <w:color w:val="000000"/>
        </w:rPr>
        <w:t>First Amendment Effective Date</w:t>
      </w:r>
      <w:r>
        <w:rPr>
          <w:rFonts w:ascii="Arial" w:cs="Arial" w:eastAsia="Arial" w:hAnsi="Arial"/>
          <w:sz w:val="21"/>
          <w:szCs w:val="21"/>
          <w:color w:val="000000"/>
        </w:rPr>
        <w:t xml:space="preserve">”) is subject to (a) the due execution of this Amendment by the Borrowers and Lenders constituting the Required Lenders, (b) receipt by the Administrative Agent of all fees and other amounts due and payable on or prior to the First Amendment Effective Date, including, to the extent invoiced at least one Business Day prior to the First Amendment Effective Date, reimbursement or payment of all reasonable out-of-pocket expenses (including fees, charges and disbursements of counsel) required to be reimbursed or paid under the Existing Credit Agreement and (c) receipt by the Administrative Agent of a certificate of a Responsible Officer of the Company certifying as to the matters set forth in </w:t>
      </w:r>
      <w:r>
        <w:rPr>
          <w:rFonts w:ascii="Arial" w:cs="Arial" w:eastAsia="Arial" w:hAnsi="Arial"/>
          <w:sz w:val="21"/>
          <w:szCs w:val="21"/>
          <w:u w:val="single" w:color="auto"/>
          <w:color w:val="000000"/>
        </w:rPr>
        <w:t>Sections 4.1(d)</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4.1(e)</w:t>
      </w:r>
      <w:r>
        <w:rPr>
          <w:rFonts w:ascii="Arial" w:cs="Arial" w:eastAsia="Arial" w:hAnsi="Arial"/>
          <w:sz w:val="21"/>
          <w:szCs w:val="21"/>
          <w:color w:val="000000"/>
        </w:rPr>
        <w: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010000"/>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010000"/>
        </w:rPr>
        <w:t xml:space="preserve">SECTION 4.1. </w:t>
      </w:r>
      <w:r>
        <w:rPr>
          <w:rFonts w:ascii="Arial" w:cs="Arial" w:eastAsia="Arial" w:hAnsi="Arial"/>
          <w:sz w:val="22"/>
          <w:szCs w:val="22"/>
          <w:color w:val="000000"/>
        </w:rPr>
        <w:t>To induce the other parties hereto to enter into this Amendment, the Borrowers represent and</w:t>
      </w:r>
      <w:r>
        <w:rPr>
          <w:rFonts w:ascii="Arial" w:cs="Arial" w:eastAsia="Arial" w:hAnsi="Arial"/>
          <w:sz w:val="22"/>
          <w:szCs w:val="22"/>
          <w:color w:val="010000"/>
        </w:rPr>
        <w:t xml:space="preserve"> </w:t>
      </w:r>
      <w:r>
        <w:rPr>
          <w:rFonts w:ascii="Arial" w:cs="Arial" w:eastAsia="Arial" w:hAnsi="Arial"/>
          <w:sz w:val="22"/>
          <w:szCs w:val="22"/>
          <w:color w:val="000000"/>
        </w:rPr>
        <w:t>warrant to each of the Lenders that, as of the First Amendment Effective Date:</w:t>
      </w:r>
    </w:p>
    <w:p>
      <w:pPr>
        <w:spacing w:after="0" w:line="175" w:lineRule="exact"/>
        <w:rPr>
          <w:sz w:val="20"/>
          <w:szCs w:val="20"/>
          <w:color w:val="auto"/>
        </w:rPr>
      </w:pPr>
    </w:p>
    <w:p>
      <w:pPr>
        <w:jc w:val="both"/>
        <w:ind w:left="660" w:firstLine="644"/>
        <w:spacing w:after="0" w:line="265" w:lineRule="auto"/>
        <w:tabs>
          <w:tab w:leader="none" w:pos="1953" w:val="left"/>
        </w:tabs>
        <w:numPr>
          <w:ilvl w:val="0"/>
          <w:numId w:val="16"/>
        </w:numPr>
        <w:rPr>
          <w:rFonts w:ascii="Arial" w:cs="Arial" w:eastAsia="Arial" w:hAnsi="Arial"/>
          <w:sz w:val="21"/>
          <w:szCs w:val="21"/>
          <w:color w:val="auto"/>
        </w:rPr>
      </w:pPr>
      <w:r>
        <w:rPr>
          <w:rFonts w:ascii="Arial" w:cs="Arial" w:eastAsia="Arial" w:hAnsi="Arial"/>
          <w:sz w:val="21"/>
          <w:szCs w:val="21"/>
          <w:color w:val="auto"/>
        </w:rPr>
        <w:t>each Loan Party hereto (i) is a Person duly organized, incorporated or established, validly existing and, to the extent that such concept is applicable in the relevant jurisdiction, in good standing under the laws of the jurisdiction of its organization, incorporation or establishment and (ii) has all requisite power and authority to execute, deliver and perform its obligations under each Loan Document to which it is a party;</w:t>
      </w:r>
    </w:p>
    <w:p>
      <w:pPr>
        <w:spacing w:after="0" w:line="175" w:lineRule="exact"/>
        <w:rPr>
          <w:rFonts w:ascii="Arial" w:cs="Arial" w:eastAsia="Arial" w:hAnsi="Arial"/>
          <w:sz w:val="21"/>
          <w:szCs w:val="21"/>
          <w:color w:val="auto"/>
        </w:rPr>
      </w:pPr>
    </w:p>
    <w:p>
      <w:pPr>
        <w:jc w:val="both"/>
        <w:ind w:left="660" w:firstLine="644"/>
        <w:spacing w:after="0" w:line="289" w:lineRule="auto"/>
        <w:tabs>
          <w:tab w:leader="none" w:pos="1951" w:val="left"/>
        </w:tabs>
        <w:numPr>
          <w:ilvl w:val="0"/>
          <w:numId w:val="16"/>
        </w:numPr>
        <w:rPr>
          <w:rFonts w:ascii="Arial" w:cs="Arial" w:eastAsia="Arial" w:hAnsi="Arial"/>
          <w:sz w:val="19"/>
          <w:szCs w:val="19"/>
          <w:color w:val="auto"/>
        </w:rPr>
      </w:pPr>
      <w:r>
        <w:rPr>
          <w:rFonts w:ascii="Arial" w:cs="Arial" w:eastAsia="Arial" w:hAnsi="Arial"/>
          <w:sz w:val="19"/>
          <w:szCs w:val="19"/>
          <w:color w:val="auto"/>
        </w:rPr>
        <w:t>(i) the execution, delivery and performance by the Borrowers of this Amendment has been duly authorized by all necessary corporate or other organizational action, and (ii) the execution, delivery and performance by any Loan Party hereto of this Amendment will not (x) result in any creation or imposition of any Lien upon any asset now owned or hereafter acquired by the Borrowers or any Loan Party (other than as permitted by the Loan Documents), (y) violate any Requirement of Law applicable to the Borrowers or any Loan Party and (z) violate or result (alone or with notice or lapse of time or both) in a default under any indenture, agreement or other instrument binding upon any Borrower or any Loan Party or their respective assets, or give rise to a right thereunder to require any payment, repurchase or redemption to be made by any Borrower or any Loan Party or give rise to a right of, or result in, termination, cancelation or acceleration of any obligation thereunder, except with respect to any violation,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7" w:name="page58"/>
    <w:bookmarkEnd w:id="57"/>
    <w:p>
      <w:pPr>
        <w:ind w:left="660" w:right="20"/>
        <w:spacing w:after="0" w:line="263" w:lineRule="auto"/>
        <w:rPr>
          <w:sz w:val="20"/>
          <w:szCs w:val="20"/>
          <w:color w:val="auto"/>
        </w:rPr>
      </w:pPr>
      <w:r>
        <w:rPr>
          <w:rFonts w:ascii="Arial" w:cs="Arial" w:eastAsia="Arial" w:hAnsi="Arial"/>
          <w:sz w:val="22"/>
          <w:szCs w:val="22"/>
          <w:color w:val="auto"/>
        </w:rPr>
        <w:t>payment, repurchase, redemption, termination, cancellation or acceleration that would not reasonably be expected to have a Material Adverse Effect;</w:t>
      </w:r>
    </w:p>
    <w:p>
      <w:pPr>
        <w:spacing w:after="0" w:line="175" w:lineRule="exact"/>
        <w:rPr>
          <w:sz w:val="20"/>
          <w:szCs w:val="20"/>
          <w:color w:val="auto"/>
        </w:rPr>
      </w:pPr>
    </w:p>
    <w:p>
      <w:pPr>
        <w:jc w:val="both"/>
        <w:ind w:left="660" w:firstLine="644"/>
        <w:spacing w:after="0" w:line="246" w:lineRule="auto"/>
        <w:tabs>
          <w:tab w:leader="none" w:pos="1953"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execution, delivery and performance by the Borrowers of this Amendment, will not require any consent or approval of, registration or filing with, or any other action by, any Governmental Authority, except such as have been obtained or made and are in full force and effect and except (i) registrations or filings necessary to perfect Liens created under the Loan Documents and payment of applicable stamp duty in respect of the Loan Documents, (ii) consents, approvals, registrations or filings which have been obtained or made and are in full force and effect or (iii) where failure to obtain such consent or approval, or make such registration or filing, in the aggregate, could not reasonably be expected to have a Material Adverse Effect;</w:t>
      </w:r>
    </w:p>
    <w:p>
      <w:pPr>
        <w:spacing w:after="0" w:line="196"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this Amendment has been duly executed and delivered by each Borrower and constitutes a legal, valid and binding obligation of each Borrower, enforceable against each Borrower in accordance with its terms, subject to general principles of equity, regardless of whether considered in a proceeding in equity or at law and an implied covenant of good faith and fair dealing;</w:t>
      </w:r>
    </w:p>
    <w:p>
      <w:pPr>
        <w:spacing w:after="0" w:line="187" w:lineRule="exact"/>
        <w:rPr>
          <w:rFonts w:ascii="Arial" w:cs="Arial" w:eastAsia="Arial" w:hAnsi="Arial"/>
          <w:sz w:val="22"/>
          <w:szCs w:val="22"/>
          <w:color w:val="auto"/>
        </w:rPr>
      </w:pPr>
    </w:p>
    <w:p>
      <w:pPr>
        <w:jc w:val="both"/>
        <w:ind w:left="660" w:firstLine="644"/>
        <w:spacing w:after="0" w:line="263" w:lineRule="auto"/>
        <w:tabs>
          <w:tab w:leader="none" w:pos="1953"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representations and warranties of each Loan Party set forth in the Loan Documents are true and correct in all material respects (or, in the case of representations and warranties qualified as to materiality, in all respects) on and as of the First Amendment Effective Date, except in the case of any such representation and warranty that expressly relates to a prior date, in which case such representation and warranty shall be true and correct in all material respects (or in all respects, as applicable) as of such earlier date; and</w:t>
      </w:r>
    </w:p>
    <w:p>
      <w:pPr>
        <w:spacing w:after="0" w:line="175" w:lineRule="exact"/>
        <w:rPr>
          <w:rFonts w:ascii="Arial" w:cs="Arial" w:eastAsia="Arial" w:hAnsi="Arial"/>
          <w:sz w:val="21"/>
          <w:szCs w:val="21"/>
          <w:color w:val="auto"/>
        </w:rPr>
      </w:pPr>
    </w:p>
    <w:p>
      <w:pPr>
        <w:ind w:left="1960" w:hanging="656"/>
        <w:spacing w:after="0"/>
        <w:tabs>
          <w:tab w:leader="none" w:pos="19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010000"/>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EFFECTS ON LOAN DOCUMENTS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SECTION 5.1. </w:t>
      </w:r>
      <w:r>
        <w:rPr>
          <w:rFonts w:ascii="Arial" w:cs="Arial" w:eastAsia="Arial" w:hAnsi="Arial"/>
          <w:sz w:val="22"/>
          <w:szCs w:val="22"/>
          <w:color w:val="000000"/>
        </w:rPr>
        <w:t>On and after the First Amendment Effective Date, each reference in the Credit Agreement to “this</w:t>
      </w:r>
      <w:r>
        <w:rPr>
          <w:rFonts w:ascii="Arial" w:cs="Arial" w:eastAsia="Arial" w:hAnsi="Arial"/>
          <w:sz w:val="22"/>
          <w:szCs w:val="22"/>
          <w:color w:val="010000"/>
        </w:rPr>
        <w:t xml:space="preserve"> </w:t>
      </w:r>
      <w:r>
        <w:rPr>
          <w:rFonts w:ascii="Arial" w:cs="Arial" w:eastAsia="Arial" w:hAnsi="Arial"/>
          <w:sz w:val="22"/>
          <w:szCs w:val="22"/>
          <w:color w:val="000000"/>
        </w:rPr>
        <w:t>Agreement”, “hereunder”, “hereof”, “herein” or words of like import referring to the Credit Agreement, and each reference in the other Loan Documents to “the Credit Agreement”, “thereunder”, “thereof” or words of like import referring to the Credit Agreement shall, in each case, mean and be a reference to the Credit Agreement.</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010000"/>
        </w:rPr>
        <w:t xml:space="preserve">SECTION 5.2. </w:t>
      </w:r>
      <w:r>
        <w:rPr>
          <w:rFonts w:ascii="Arial" w:cs="Arial" w:eastAsia="Arial" w:hAnsi="Arial"/>
          <w:sz w:val="22"/>
          <w:szCs w:val="22"/>
          <w:color w:val="000000"/>
        </w:rPr>
        <w:t>Except as specifically amended or otherwise modified herein or contemplated hereby, the Credit</w:t>
      </w:r>
      <w:r>
        <w:rPr>
          <w:rFonts w:ascii="Arial" w:cs="Arial" w:eastAsia="Arial" w:hAnsi="Arial"/>
          <w:sz w:val="22"/>
          <w:szCs w:val="22"/>
          <w:color w:val="010000"/>
        </w:rPr>
        <w:t xml:space="preserve"> </w:t>
      </w:r>
      <w:r>
        <w:rPr>
          <w:rFonts w:ascii="Arial" w:cs="Arial" w:eastAsia="Arial" w:hAnsi="Arial"/>
          <w:sz w:val="22"/>
          <w:szCs w:val="22"/>
          <w:color w:val="000000"/>
        </w:rPr>
        <w:t>Agreement and each of the other Loan Documents, as specifically amended by this Amendment, are and shall continue to be in full force and effect in all respects. Without limiting the generality of the foregoing, all of the Collateral described in the Security Documents shall continue to secure the payment of all Obligations. This Amendment shall not constitute a novation of any Obligations existing prior to the date hereof and shall merely amend or otherwise modify such Obligations to the extent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58" w:name="page59"/>
    <w:bookmarkEnd w:id="58"/>
    <w:p>
      <w:pPr>
        <w:jc w:val="both"/>
        <w:ind w:firstLine="648"/>
        <w:spacing w:after="0" w:line="248" w:lineRule="auto"/>
        <w:rPr>
          <w:sz w:val="20"/>
          <w:szCs w:val="20"/>
          <w:color w:val="auto"/>
        </w:rPr>
      </w:pPr>
      <w:r>
        <w:rPr>
          <w:rFonts w:ascii="Arial" w:cs="Arial" w:eastAsia="Arial" w:hAnsi="Arial"/>
          <w:sz w:val="22"/>
          <w:szCs w:val="22"/>
          <w:color w:val="010000"/>
        </w:rPr>
        <w:t xml:space="preserve">SECTION 5.3. </w:t>
      </w:r>
      <w:r>
        <w:rPr>
          <w:rFonts w:ascii="Arial" w:cs="Arial" w:eastAsia="Arial" w:hAnsi="Arial"/>
          <w:sz w:val="22"/>
          <w:szCs w:val="22"/>
          <w:color w:val="000000"/>
        </w:rPr>
        <w:t>The execution, delivery and effectiveness of this Amendment shall not, except as expressly</w:t>
      </w:r>
      <w:r>
        <w:rPr>
          <w:rFonts w:ascii="Arial" w:cs="Arial" w:eastAsia="Arial" w:hAnsi="Arial"/>
          <w:sz w:val="22"/>
          <w:szCs w:val="22"/>
          <w:color w:val="010000"/>
        </w:rPr>
        <w:t xml:space="preserve"> </w:t>
      </w:r>
      <w:r>
        <w:rPr>
          <w:rFonts w:ascii="Arial" w:cs="Arial" w:eastAsia="Arial" w:hAnsi="Arial"/>
          <w:sz w:val="22"/>
          <w:szCs w:val="22"/>
          <w:color w:val="000000"/>
        </w:rPr>
        <w:t>provided herein, operate as a waiver of any right, power or remedy of any Lender or the Administrative Agent under any of the Loan Documents, nor constitute a waiver of any provision of any of the Loan Documents. On and after the First Amendment Effective Date, this Amendment shall constitute a Loan Document. This Amendment and the Credit Agreement shall not constitute a novation of the Existing Credit Agreement or any other Loan Document.</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010000"/>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SECTION 6.1. </w:t>
      </w:r>
      <w:r>
        <w:rPr>
          <w:rFonts w:ascii="Arial" w:cs="Arial" w:eastAsia="Arial" w:hAnsi="Arial"/>
          <w:sz w:val="22"/>
          <w:szCs w:val="22"/>
          <w:u w:val="single" w:color="auto"/>
          <w:color w:val="000000"/>
        </w:rPr>
        <w:t>Waivers; Amendments; Severability</w:t>
      </w:r>
      <w:r>
        <w:rPr>
          <w:rFonts w:ascii="Arial" w:cs="Arial" w:eastAsia="Arial" w:hAnsi="Arial"/>
          <w:sz w:val="22"/>
          <w:szCs w:val="22"/>
          <w:color w:val="000000"/>
        </w:rPr>
        <w:t>. This Amendment may not be amended nor may any provision</w:t>
      </w:r>
      <w:r>
        <w:rPr>
          <w:rFonts w:ascii="Arial" w:cs="Arial" w:eastAsia="Arial" w:hAnsi="Arial"/>
          <w:sz w:val="22"/>
          <w:szCs w:val="22"/>
          <w:color w:val="010000"/>
        </w:rPr>
        <w:t xml:space="preserve"> </w:t>
      </w:r>
      <w:r>
        <w:rPr>
          <w:rFonts w:ascii="Arial" w:cs="Arial" w:eastAsia="Arial" w:hAnsi="Arial"/>
          <w:sz w:val="22"/>
          <w:szCs w:val="22"/>
          <w:color w:val="000000"/>
        </w:rPr>
        <w:t xml:space="preserve">hereof be waived except in accordance with the provisions of </w:t>
      </w:r>
      <w:r>
        <w:rPr>
          <w:rFonts w:ascii="Arial" w:cs="Arial" w:eastAsia="Arial" w:hAnsi="Arial"/>
          <w:sz w:val="22"/>
          <w:szCs w:val="22"/>
          <w:u w:val="single" w:color="auto"/>
          <w:color w:val="000000"/>
        </w:rPr>
        <w:t>Section 9.02</w:t>
      </w:r>
      <w:r>
        <w:rPr>
          <w:rFonts w:ascii="Arial" w:cs="Arial" w:eastAsia="Arial" w:hAnsi="Arial"/>
          <w:sz w:val="22"/>
          <w:szCs w:val="22"/>
          <w:color w:val="000000"/>
        </w:rPr>
        <w:t xml:space="preserve"> of the Credit Agreement.</w:t>
      </w:r>
    </w:p>
    <w:p>
      <w:pPr>
        <w:spacing w:after="0" w:line="175" w:lineRule="exact"/>
        <w:rPr>
          <w:sz w:val="20"/>
          <w:szCs w:val="20"/>
          <w:color w:val="auto"/>
        </w:rPr>
      </w:pPr>
    </w:p>
    <w:p>
      <w:pPr>
        <w:jc w:val="both"/>
        <w:ind w:firstLine="656"/>
        <w:spacing w:after="0" w:line="250" w:lineRule="auto"/>
        <w:tabs>
          <w:tab w:leader="none" w:pos="1291" w:val="left"/>
        </w:tabs>
        <w:numPr>
          <w:ilvl w:val="0"/>
          <w:numId w:val="18"/>
        </w:numPr>
        <w:rPr>
          <w:rFonts w:ascii="Arial" w:cs="Arial" w:eastAsia="Arial" w:hAnsi="Arial"/>
          <w:sz w:val="22"/>
          <w:szCs w:val="22"/>
          <w:color w:val="010000"/>
        </w:rPr>
      </w:pPr>
      <w:r>
        <w:rPr>
          <w:rFonts w:ascii="Arial" w:cs="Arial" w:eastAsia="Arial" w:hAnsi="Arial"/>
          <w:sz w:val="22"/>
          <w:szCs w:val="22"/>
          <w:color w:val="auto"/>
        </w:rPr>
        <w:t>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010000"/>
        </w:rPr>
        <w:t xml:space="preserve">SECTION 6.2. </w:t>
      </w:r>
      <w:r>
        <w:rPr>
          <w:rFonts w:ascii="Arial" w:cs="Arial" w:eastAsia="Arial" w:hAnsi="Arial"/>
          <w:sz w:val="21"/>
          <w:szCs w:val="21"/>
          <w:u w:val="single" w:color="auto"/>
          <w:color w:val="000000"/>
        </w:rPr>
        <w:t>Governing Law; Jurisdiction; Consent to Service of Process; Waiver of Jury Trial</w:t>
      </w:r>
      <w:r>
        <w:rPr>
          <w:rFonts w:ascii="Arial" w:cs="Arial" w:eastAsia="Arial" w:hAnsi="Arial"/>
          <w:sz w:val="21"/>
          <w:szCs w:val="21"/>
          <w:color w:val="000000"/>
        </w:rPr>
        <w:t>. This</w:t>
      </w:r>
      <w:r>
        <w:rPr>
          <w:rFonts w:ascii="Arial" w:cs="Arial" w:eastAsia="Arial" w:hAnsi="Arial"/>
          <w:sz w:val="21"/>
          <w:szCs w:val="21"/>
          <w:color w:val="010000"/>
        </w:rPr>
        <w:t xml:space="preserve"> </w:t>
      </w:r>
      <w:r>
        <w:rPr>
          <w:rFonts w:ascii="Arial" w:cs="Arial" w:eastAsia="Arial" w:hAnsi="Arial"/>
          <w:sz w:val="21"/>
          <w:szCs w:val="21"/>
          <w:color w:val="000000"/>
        </w:rPr>
        <w:t xml:space="preserve">Amendment shall be construed in accordance with and governed by the laws of the State of New York. The provisions of </w:t>
      </w:r>
      <w:r>
        <w:rPr>
          <w:rFonts w:ascii="Arial" w:cs="Arial" w:eastAsia="Arial" w:hAnsi="Arial"/>
          <w:sz w:val="21"/>
          <w:szCs w:val="21"/>
          <w:u w:val="single" w:color="auto"/>
          <w:color w:val="000000"/>
        </w:rPr>
        <w:t>Sections 9.09</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9.10</w:t>
      </w:r>
      <w:r>
        <w:rPr>
          <w:rFonts w:ascii="Arial" w:cs="Arial" w:eastAsia="Arial" w:hAnsi="Arial"/>
          <w:sz w:val="21"/>
          <w:szCs w:val="21"/>
          <w:color w:val="000000"/>
        </w:rPr>
        <w:t xml:space="preserve"> of the Credit Agreement are incorporated herein by reference, </w:t>
      </w:r>
      <w:r>
        <w:rPr>
          <w:rFonts w:ascii="Arial" w:cs="Arial" w:eastAsia="Arial" w:hAnsi="Arial"/>
          <w:sz w:val="21"/>
          <w:szCs w:val="21"/>
          <w:i w:val="1"/>
          <w:iCs w:val="1"/>
          <w:color w:val="000000"/>
        </w:rPr>
        <w:t>mutatis mutandis</w:t>
      </w:r>
      <w:r>
        <w:rPr>
          <w:rFonts w:ascii="Arial" w:cs="Arial" w:eastAsia="Arial" w:hAnsi="Arial"/>
          <w:sz w:val="21"/>
          <w:szCs w:val="21"/>
          <w:color w:val="000000"/>
        </w:rPr>
        <w:t>.</w:t>
      </w:r>
    </w:p>
    <w:p>
      <w:pPr>
        <w:spacing w:after="0" w:line="16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010000"/>
        </w:rPr>
        <w:t xml:space="preserve">SECTION 6.3. </w:t>
      </w:r>
      <w:r>
        <w:rPr>
          <w:rFonts w:ascii="Arial" w:cs="Arial" w:eastAsia="Arial" w:hAnsi="Arial"/>
          <w:sz w:val="19"/>
          <w:szCs w:val="19"/>
          <w:u w:val="single" w:color="auto"/>
          <w:color w:val="000000"/>
        </w:rPr>
        <w:t>Headings</w:t>
      </w:r>
      <w:r>
        <w:rPr>
          <w:rFonts w:ascii="Arial" w:cs="Arial" w:eastAsia="Arial" w:hAnsi="Arial"/>
          <w:sz w:val="19"/>
          <w:szCs w:val="19"/>
          <w:color w:val="000000"/>
        </w:rPr>
        <w:t>. Article and Section headings used herein are for convenience of reference only, are not</w:t>
      </w:r>
      <w:r>
        <w:rPr>
          <w:rFonts w:ascii="Arial" w:cs="Arial" w:eastAsia="Arial" w:hAnsi="Arial"/>
          <w:sz w:val="19"/>
          <w:szCs w:val="19"/>
          <w:color w:val="010000"/>
        </w:rPr>
        <w:t xml:space="preserve"> </w:t>
      </w:r>
      <w:r>
        <w:rPr>
          <w:rFonts w:ascii="Arial" w:cs="Arial" w:eastAsia="Arial" w:hAnsi="Arial"/>
          <w:sz w:val="19"/>
          <w:szCs w:val="19"/>
          <w:color w:val="000000"/>
        </w:rPr>
        <w:t>part of this Amendment and shall not affect the construction of, or be taken into consideration in interpreting, this Amendment.</w:t>
      </w:r>
    </w:p>
    <w:p>
      <w:pPr>
        <w:spacing w:after="0" w:line="1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010000"/>
        </w:rPr>
        <w:t xml:space="preserve">SECTION 6.4. </w:t>
      </w:r>
      <w:r>
        <w:rPr>
          <w:rFonts w:ascii="Arial" w:cs="Arial" w:eastAsia="Arial" w:hAnsi="Arial"/>
          <w:sz w:val="21"/>
          <w:szCs w:val="21"/>
          <w:u w:val="single" w:color="auto"/>
          <w:color w:val="000000"/>
        </w:rPr>
        <w:t>Counterparts</w:t>
      </w:r>
      <w:r>
        <w:rPr>
          <w:rFonts w:ascii="Arial" w:cs="Arial" w:eastAsia="Arial" w:hAnsi="Arial"/>
          <w:sz w:val="21"/>
          <w:szCs w:val="21"/>
          <w:color w:val="000000"/>
        </w:rPr>
        <w:t>. This Amendment may be executed in counterparts (and by different parties hereto on</w:t>
      </w:r>
      <w:r>
        <w:rPr>
          <w:rFonts w:ascii="Arial" w:cs="Arial" w:eastAsia="Arial" w:hAnsi="Arial"/>
          <w:sz w:val="21"/>
          <w:szCs w:val="21"/>
          <w:color w:val="010000"/>
        </w:rPr>
        <w:t xml:space="preserve"> </w:t>
      </w:r>
      <w:r>
        <w:rPr>
          <w:rFonts w:ascii="Arial" w:cs="Arial" w:eastAsia="Arial" w:hAnsi="Arial"/>
          <w:sz w:val="21"/>
          <w:szCs w:val="21"/>
          <w:color w:val="000000"/>
        </w:rPr>
        <w:t>different counterparts), each of which shall constitute an original, but all of which when taken together shall constitute a single contract. The words “execution,” “signed,” “signature,” “delivery,” and words of like import in or relating to this Amendment and/or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SECTION 6.5. </w:t>
      </w:r>
      <w:r>
        <w:rPr>
          <w:rFonts w:ascii="Arial" w:cs="Arial" w:eastAsia="Arial" w:hAnsi="Arial"/>
          <w:sz w:val="22"/>
          <w:szCs w:val="22"/>
          <w:u w:val="single" w:color="auto"/>
          <w:color w:val="000000"/>
        </w:rPr>
        <w:t>Reaffirmation</w:t>
      </w:r>
      <w:r>
        <w:rPr>
          <w:rFonts w:ascii="Arial" w:cs="Arial" w:eastAsia="Arial" w:hAnsi="Arial"/>
          <w:sz w:val="22"/>
          <w:szCs w:val="22"/>
          <w:color w:val="000000"/>
        </w:rPr>
        <w:t>. The Borrowers, on behalf of themselves and the Guarantors, hereby (a) consent to</w:t>
      </w:r>
      <w:r>
        <w:rPr>
          <w:rFonts w:ascii="Arial" w:cs="Arial" w:eastAsia="Arial" w:hAnsi="Arial"/>
          <w:sz w:val="22"/>
          <w:szCs w:val="22"/>
          <w:color w:val="010000"/>
        </w:rPr>
        <w:t xml:space="preserve"> </w:t>
      </w:r>
      <w:r>
        <w:rPr>
          <w:rFonts w:ascii="Arial" w:cs="Arial" w:eastAsia="Arial" w:hAnsi="Arial"/>
          <w:sz w:val="22"/>
          <w:szCs w:val="22"/>
          <w:color w:val="000000"/>
        </w:rPr>
        <w:t>the amendment of the Credit Agreement effected hereby, (b) acknowledge and agree that all of their respective obligations under the Credit Agreement, the Guarantee, the Security Documents and the other Loan Documents, in each case as amended, supplemented or otherwise modified from time to time, are reaffirmed and remain in full force and effect on a continuous basis and are hereby ratified and confirmed in all respects,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59" w:name="page60"/>
    <w:bookmarkEnd w:id="59"/>
    <w:p>
      <w:pPr>
        <w:jc w:val="both"/>
        <w:spacing w:after="0" w:line="250" w:lineRule="auto"/>
        <w:rPr>
          <w:sz w:val="20"/>
          <w:szCs w:val="20"/>
          <w:color w:val="auto"/>
        </w:rPr>
      </w:pPr>
      <w:r>
        <w:rPr>
          <w:rFonts w:ascii="Arial" w:cs="Arial" w:eastAsia="Arial" w:hAnsi="Arial"/>
          <w:sz w:val="22"/>
          <w:szCs w:val="22"/>
          <w:color w:val="auto"/>
        </w:rPr>
        <w:t>case as amended by this Amendment, (c) reaffirm (i) each Lien granted by them to the Administrative Agent for the benefit of the Secured Parties and (ii) any guarantees made by them pursuant to the Guarantee, and (d) acknowledge and agree that the grants of security interests by them contained in, and all Liens created under, each Security Document shall remain in full force and effect and continue to secure the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60" w:name="page61"/>
    <w:bookmarkEnd w:id="60"/>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and delivered by their respective duly authorized officers as of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BORROWERS</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Alf Melin</w:t>
      </w:r>
      <w:r>
        <w:rPr>
          <w:rFonts w:ascii="Arial" w:cs="Arial" w:eastAsia="Arial" w:hAnsi="Arial"/>
          <w:sz w:val="22"/>
          <w:szCs w:val="22"/>
          <w:color w:val="auto"/>
        </w:rPr>
        <w:t>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Alf Melin</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Authorized Officer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FMC TECHNOLOGIES,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Alf Melin</w:t>
      </w:r>
      <w:r>
        <w:rPr>
          <w:rFonts w:ascii="Arial" w:cs="Arial" w:eastAsia="Arial" w:hAnsi="Arial"/>
          <w:sz w:val="22"/>
          <w:szCs w:val="22"/>
          <w:color w:val="auto"/>
        </w:rPr>
        <w:t>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Alf Melin</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First Amendment</w:t>
      </w:r>
      <w:r>
        <w:rPr>
          <w:rFonts w:ascii="Arial" w:cs="Arial" w:eastAsia="Arial" w:hAnsi="Arial"/>
          <w:sz w:val="22"/>
          <w:szCs w:val="22"/>
          <w:color w:val="auto"/>
        </w:rPr>
        <w:t>]</w:t>
      </w:r>
    </w:p>
    <w:p>
      <w:pPr>
        <w:sectPr>
          <w:pgSz w:w="11900" w:h="16838" w:orient="portrait"/>
          <w:cols w:equalWidth="0" w:num="1">
            <w:col w:w="11220"/>
          </w:cols>
          <w:pgMar w:left="320" w:top="1428" w:right="359" w:bottom="1440" w:gutter="0" w:footer="0" w:header="0"/>
        </w:sectPr>
      </w:pPr>
    </w:p>
    <w:bookmarkStart w:id="61" w:name="page62"/>
    <w:bookmarkEnd w:id="61"/>
    <w:p>
      <w:pPr>
        <w:ind w:left="2780"/>
        <w:spacing w:after="0"/>
        <w:rPr>
          <w:sz w:val="20"/>
          <w:szCs w:val="20"/>
          <w:color w:val="auto"/>
        </w:rPr>
      </w:pPr>
      <w:r>
        <w:rPr>
          <w:rFonts w:ascii="Arial" w:cs="Arial" w:eastAsia="Arial" w:hAnsi="Arial"/>
          <w:sz w:val="22"/>
          <w:szCs w:val="22"/>
          <w:b w:val="1"/>
          <w:bCs w:val="1"/>
          <w:u w:val="single" w:color="auto"/>
          <w:color w:val="auto"/>
        </w:rPr>
        <w:t>ADMINISTRATIVE AGENT, LENDERS AND ISSUING BANKS</w:t>
      </w:r>
    </w:p>
    <w:p>
      <w:pPr>
        <w:spacing w:after="0" w:line="226" w:lineRule="exact"/>
        <w:rPr>
          <w:sz w:val="20"/>
          <w:szCs w:val="20"/>
          <w:color w:val="auto"/>
        </w:rPr>
      </w:pPr>
    </w:p>
    <w:p>
      <w:pPr>
        <w:ind w:left="2780"/>
        <w:spacing w:after="0" w:line="263" w:lineRule="auto"/>
        <w:rPr>
          <w:sz w:val="20"/>
          <w:szCs w:val="20"/>
          <w:color w:val="auto"/>
        </w:rPr>
      </w:pPr>
      <w:r>
        <w:rPr>
          <w:rFonts w:ascii="Arial" w:cs="Arial" w:eastAsia="Arial" w:hAnsi="Arial"/>
          <w:sz w:val="22"/>
          <w:szCs w:val="22"/>
          <w:color w:val="auto"/>
        </w:rPr>
        <w:t>JPMORGAN CHASE BANK, N.A., as Administrative Agent, individually 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Anson Williams</w:t>
      </w:r>
      <w:r>
        <w:rPr>
          <w:rFonts w:ascii="Arial" w:cs="Arial" w:eastAsia="Arial" w:hAnsi="Arial"/>
          <w:sz w:val="22"/>
          <w:szCs w:val="22"/>
          <w:color w:val="auto"/>
        </w:rPr>
        <w:t>__________________</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Anson Williams</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First Amendment</w:t>
      </w:r>
      <w:r>
        <w:rPr>
          <w:rFonts w:ascii="Arial" w:cs="Arial" w:eastAsia="Arial" w:hAnsi="Arial"/>
          <w:sz w:val="22"/>
          <w:szCs w:val="22"/>
          <w:color w:val="auto"/>
        </w:rPr>
        <w:t>]</w:t>
      </w:r>
    </w:p>
    <w:p>
      <w:pPr>
        <w:sectPr>
          <w:pgSz w:w="11900" w:h="16838" w:orient="portrait"/>
          <w:cols w:equalWidth="0" w:num="1">
            <w:col w:w="9660"/>
          </w:cols>
          <w:pgMar w:left="1440" w:top="1422" w:right="799" w:bottom="1440" w:gutter="0" w:footer="0" w:header="0"/>
        </w:sectPr>
      </w:pPr>
    </w:p>
    <w:bookmarkStart w:id="62" w:name="page63"/>
    <w:bookmarkEnd w:id="62"/>
    <w:p>
      <w:pPr>
        <w:ind w:left="2780"/>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Cathy Shepherd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782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Cathy Shepherd</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Amendment</w:t>
      </w:r>
      <w:r>
        <w:rPr>
          <w:rFonts w:ascii="Arial" w:cs="Arial" w:eastAsia="Arial" w:hAnsi="Arial"/>
          <w:sz w:val="19"/>
          <w:szCs w:val="19"/>
          <w:color w:val="auto"/>
        </w:rPr>
        <w:t>]</w:t>
      </w:r>
    </w:p>
    <w:p>
      <w:pPr>
        <w:sectPr>
          <w:pgSz w:w="11900" w:h="16838" w:orient="portrait"/>
          <w:cols w:equalWidth="0" w:num="1">
            <w:col w:w="9019"/>
          </w:cols>
          <w:pgMar w:left="1440" w:top="1428" w:right="1440" w:bottom="1440" w:gutter="0" w:footer="0" w:header="0"/>
        </w:sectPr>
      </w:pPr>
    </w:p>
    <w:bookmarkStart w:id="63" w:name="page64"/>
    <w:bookmarkEnd w:id="63"/>
    <w:p>
      <w:pPr>
        <w:ind w:left="2780"/>
        <w:spacing w:after="0"/>
        <w:rPr>
          <w:sz w:val="20"/>
          <w:szCs w:val="20"/>
          <w:color w:val="auto"/>
        </w:rPr>
      </w:pPr>
      <w:r>
        <w:rPr>
          <w:rFonts w:ascii="Arial" w:cs="Arial" w:eastAsia="Arial" w:hAnsi="Arial"/>
          <w:sz w:val="22"/>
          <w:szCs w:val="22"/>
          <w:color w:val="auto"/>
        </w:rPr>
        <w:t>DNB BANK ASA, New York Branch,</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an Issuing Bank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By: /s/ Mita Zalavadia__________________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-10795</wp:posOffset>
            </wp:positionV>
            <wp:extent cx="10318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31875" cy="8890"/>
                    </a:xfrm>
                    <a:prstGeom prst="rect">
                      <a:avLst/>
                    </a:prstGeom>
                    <a:noFill/>
                  </pic:spPr>
                </pic:pic>
              </a:graphicData>
            </a:graphic>
          </wp:anchor>
        </w:drawing>
      </w:r>
    </w:p>
    <w:p>
      <w:pPr>
        <w:spacing w:after="0" w:line="13"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Mita Zalavadia</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18"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By: /s/ Ahelia Singh__________________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3175</wp:posOffset>
            </wp:positionV>
            <wp:extent cx="918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36"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Name: Ahelia Singh</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First Amendment</w:t>
      </w:r>
      <w:r>
        <w:rPr>
          <w:rFonts w:ascii="Arial" w:cs="Arial" w:eastAsia="Arial" w:hAnsi="Arial"/>
          <w:sz w:val="21"/>
          <w:szCs w:val="21"/>
          <w:color w:val="auto"/>
        </w:rPr>
        <w:t>]</w:t>
      </w:r>
    </w:p>
    <w:p>
      <w:pPr>
        <w:sectPr>
          <w:pgSz w:w="11900" w:h="16838" w:orient="portrait"/>
          <w:cols w:equalWidth="0" w:num="1">
            <w:col w:w="9019"/>
          </w:cols>
          <w:pgMar w:left="1440" w:top="1428" w:right="1440" w:bottom="1440" w:gutter="0" w:footer="0" w:header="0"/>
        </w:sectPr>
      </w:pPr>
    </w:p>
    <w:bookmarkStart w:id="64" w:name="page65"/>
    <w:bookmarkEnd w:id="64"/>
    <w:p>
      <w:pPr>
        <w:ind w:left="2780"/>
        <w:spacing w:after="0"/>
        <w:rPr>
          <w:sz w:val="20"/>
          <w:szCs w:val="20"/>
          <w:color w:val="auto"/>
        </w:rPr>
      </w:pPr>
      <w:r>
        <w:rPr>
          <w:rFonts w:ascii="Arial" w:cs="Arial" w:eastAsia="Arial" w:hAnsi="Arial"/>
          <w:sz w:val="22"/>
          <w:szCs w:val="22"/>
          <w:color w:val="auto"/>
        </w:rPr>
        <w:t>DNB CAPITAL LLC,</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By: /s/ Mita Zalavadia__________________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-10795</wp:posOffset>
            </wp:positionV>
            <wp:extent cx="10318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31875" cy="8890"/>
                    </a:xfrm>
                    <a:prstGeom prst="rect">
                      <a:avLst/>
                    </a:prstGeom>
                    <a:noFill/>
                  </pic:spPr>
                </pic:pic>
              </a:graphicData>
            </a:graphic>
          </wp:anchor>
        </w:drawing>
      </w:r>
    </w:p>
    <w:p>
      <w:pPr>
        <w:spacing w:after="0" w:line="13"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Mita Zalavadia</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18"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By: /s/ Ahelia Singh__________________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3175</wp:posOffset>
            </wp:positionV>
            <wp:extent cx="918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36"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Name: Ahelia Singh</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First Amendment</w:t>
      </w:r>
      <w:r>
        <w:rPr>
          <w:rFonts w:ascii="Arial" w:cs="Arial" w:eastAsia="Arial" w:hAnsi="Arial"/>
          <w:sz w:val="21"/>
          <w:szCs w:val="21"/>
          <w:color w:val="auto"/>
        </w:rPr>
        <w:t>]</w:t>
      </w:r>
    </w:p>
    <w:p>
      <w:pPr>
        <w:sectPr>
          <w:pgSz w:w="11900" w:h="16838" w:orient="portrait"/>
          <w:cols w:equalWidth="0" w:num="1">
            <w:col w:w="9019"/>
          </w:cols>
          <w:pgMar w:left="1440" w:top="1428" w:right="1440" w:bottom="1440" w:gutter="0" w:footer="0" w:header="0"/>
        </w:sectPr>
      </w:pPr>
    </w:p>
    <w:bookmarkStart w:id="65" w:name="page66"/>
    <w:bookmarkEnd w:id="65"/>
    <w:p>
      <w:pPr>
        <w:ind w:left="2780"/>
        <w:spacing w:after="0"/>
        <w:rPr>
          <w:sz w:val="20"/>
          <w:szCs w:val="20"/>
          <w:color w:val="auto"/>
        </w:rPr>
      </w:pPr>
      <w:r>
        <w:rPr>
          <w:rFonts w:ascii="Arial" w:cs="Arial" w:eastAsia="Arial" w:hAnsi="Arial"/>
          <w:sz w:val="22"/>
          <w:szCs w:val="22"/>
          <w:color w:val="auto"/>
        </w:rPr>
        <w:t>SOCIETE GENERALE,</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661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Richard Bernal</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Amendment</w:t>
      </w:r>
      <w:r>
        <w:rPr>
          <w:rFonts w:ascii="Arial" w:cs="Arial" w:eastAsia="Arial" w:hAnsi="Arial"/>
          <w:sz w:val="19"/>
          <w:szCs w:val="19"/>
          <w:color w:val="auto"/>
        </w:rPr>
        <w:t>]</w:t>
      </w:r>
    </w:p>
    <w:p>
      <w:pPr>
        <w:sectPr>
          <w:pgSz w:w="11900" w:h="16838" w:orient="portrait"/>
          <w:cols w:equalWidth="0" w:num="1">
            <w:col w:w="9019"/>
          </w:cols>
          <w:pgMar w:left="1440" w:top="1428" w:right="1440" w:bottom="1440" w:gutter="0" w:footer="0" w:header="0"/>
        </w:sectPr>
      </w:pPr>
    </w:p>
    <w:bookmarkStart w:id="66" w:name="page67"/>
    <w:bookmarkEnd w:id="66"/>
    <w:p>
      <w:pPr>
        <w:ind w:left="2780" w:right="1359"/>
        <w:spacing w:after="0" w:line="287" w:lineRule="auto"/>
        <w:rPr>
          <w:sz w:val="20"/>
          <w:szCs w:val="20"/>
          <w:color w:val="auto"/>
        </w:rPr>
      </w:pPr>
      <w:r>
        <w:rPr>
          <w:rFonts w:ascii="Arial" w:cs="Arial" w:eastAsia="Arial" w:hAnsi="Arial"/>
          <w:sz w:val="21"/>
          <w:szCs w:val="21"/>
          <w:color w:val="auto"/>
        </w:rPr>
        <w:t>WELLS FARGO BANK, NATIONAL ASSOCIATION, as a Lender and as an Issuing Bank</w:t>
      </w:r>
    </w:p>
    <w:p>
      <w:pPr>
        <w:spacing w:after="0" w:line="200" w:lineRule="exact"/>
        <w:rPr>
          <w:sz w:val="20"/>
          <w:szCs w:val="20"/>
          <w:color w:val="auto"/>
        </w:rPr>
      </w:pPr>
    </w:p>
    <w:p>
      <w:pPr>
        <w:spacing w:after="0" w:line="38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28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Michael Janak</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First Amendment</w:t>
      </w:r>
      <w:r>
        <w:rPr>
          <w:rFonts w:ascii="Arial" w:cs="Arial" w:eastAsia="Arial" w:hAnsi="Arial"/>
          <w:sz w:val="21"/>
          <w:szCs w:val="21"/>
          <w:color w:val="auto"/>
        </w:rPr>
        <w:t>]</w:t>
      </w:r>
    </w:p>
    <w:p>
      <w:pPr>
        <w:sectPr>
          <w:pgSz w:w="11900" w:h="16838" w:orient="portrait"/>
          <w:cols w:equalWidth="0" w:num="1">
            <w:col w:w="9019"/>
          </w:cols>
          <w:pgMar w:left="1440" w:top="1428" w:right="1440" w:bottom="1440" w:gutter="0" w:footer="0" w:header="0"/>
        </w:sectPr>
      </w:pPr>
    </w:p>
    <w:bookmarkStart w:id="67" w:name="page68"/>
    <w:bookmarkEnd w:id="67"/>
    <w:p>
      <w:pPr>
        <w:ind w:left="2780"/>
        <w:spacing w:after="0"/>
        <w:rPr>
          <w:sz w:val="20"/>
          <w:szCs w:val="20"/>
          <w:color w:val="auto"/>
        </w:rPr>
      </w:pPr>
      <w:r>
        <w:rPr>
          <w:rFonts w:ascii="Arial" w:cs="Arial" w:eastAsia="Arial" w:hAnsi="Arial"/>
          <w:sz w:val="22"/>
          <w:szCs w:val="22"/>
          <w:color w:val="auto"/>
        </w:rPr>
        <w:t>BANK OF AMERICA, N.A.,</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Victor F.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09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Victor F. Cruz</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Amendment</w:t>
      </w:r>
      <w:r>
        <w:rPr>
          <w:rFonts w:ascii="Arial" w:cs="Arial" w:eastAsia="Arial" w:hAnsi="Arial"/>
          <w:sz w:val="19"/>
          <w:szCs w:val="19"/>
          <w:color w:val="auto"/>
        </w:rPr>
        <w:t>]</w:t>
      </w:r>
    </w:p>
    <w:p>
      <w:pPr>
        <w:sectPr>
          <w:pgSz w:w="11900" w:h="16838" w:orient="portrait"/>
          <w:cols w:equalWidth="0" w:num="1">
            <w:col w:w="9019"/>
          </w:cols>
          <w:pgMar w:left="1440" w:top="1428" w:right="1440" w:bottom="1440" w:gutter="0" w:footer="0" w:header="0"/>
        </w:sectPr>
      </w:pPr>
    </w:p>
    <w:bookmarkStart w:id="68" w:name="page69"/>
    <w:bookmarkEnd w:id="68"/>
    <w:p>
      <w:pPr>
        <w:ind w:left="2780"/>
        <w:spacing w:after="0"/>
        <w:rPr>
          <w:sz w:val="20"/>
          <w:szCs w:val="20"/>
          <w:color w:val="auto"/>
        </w:rPr>
      </w:pPr>
      <w:r>
        <w:rPr>
          <w:rFonts w:ascii="Arial" w:cs="Arial" w:eastAsia="Arial" w:hAnsi="Arial"/>
          <w:sz w:val="21"/>
          <w:szCs w:val="21"/>
          <w:color w:val="auto"/>
        </w:rPr>
        <w:t>STANDARD CHARTERED BANK,</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James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8839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3920" cy="8890"/>
                    </a:xfrm>
                    <a:prstGeom prst="rect">
                      <a:avLst/>
                    </a:prstGeom>
                    <a:noFill/>
                  </pic:spPr>
                </pic:pic>
              </a:graphicData>
            </a:graphic>
          </wp:anchor>
        </w:drawing>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James Beck</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First Amendment</w:t>
      </w:r>
      <w:r>
        <w:rPr>
          <w:rFonts w:ascii="Arial" w:cs="Arial" w:eastAsia="Arial" w:hAnsi="Arial"/>
          <w:sz w:val="19"/>
          <w:szCs w:val="19"/>
          <w:color w:val="auto"/>
        </w:rPr>
        <w:t>]</w:t>
      </w:r>
    </w:p>
    <w:p>
      <w:pPr>
        <w:sectPr>
          <w:pgSz w:w="11900" w:h="16838" w:orient="portrait"/>
          <w:cols w:equalWidth="0" w:num="1">
            <w:col w:w="9019"/>
          </w:cols>
          <w:pgMar w:left="1440" w:top="1428" w:right="1440" w:bottom="1440" w:gutter="0" w:footer="0" w:header="0"/>
        </w:sectPr>
      </w:pPr>
    </w:p>
    <w:bookmarkStart w:id="69" w:name="page70"/>
    <w:bookmarkEnd w:id="69"/>
    <w:p>
      <w:pPr>
        <w:ind w:left="2780"/>
        <w:spacing w:after="0"/>
        <w:rPr>
          <w:sz w:val="20"/>
          <w:szCs w:val="20"/>
          <w:color w:val="auto"/>
        </w:rPr>
      </w:pPr>
      <w:r>
        <w:rPr>
          <w:rFonts w:ascii="Arial" w:cs="Arial" w:eastAsia="Arial" w:hAnsi="Arial"/>
          <w:sz w:val="19"/>
          <w:szCs w:val="19"/>
          <w:color w:val="auto"/>
        </w:rPr>
        <w:t>THE NORTHERN TRUST COMPANY,</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Keith L. Burson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201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Keith L. Burson</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First Amendment</w:t>
      </w:r>
      <w:r>
        <w:rPr>
          <w:rFonts w:ascii="Arial" w:cs="Arial" w:eastAsia="Arial" w:hAnsi="Arial"/>
          <w:sz w:val="21"/>
          <w:szCs w:val="21"/>
          <w:color w:val="auto"/>
        </w:rPr>
        <w:t>]</w:t>
      </w:r>
    </w:p>
    <w:p>
      <w:pPr>
        <w:sectPr>
          <w:pgSz w:w="11900" w:h="16838" w:orient="portrait"/>
          <w:cols w:equalWidth="0" w:num="1">
            <w:col w:w="9019"/>
          </w:cols>
          <w:pgMar w:left="1440" w:top="1428"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i w:val="1"/>
          <w:i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CREDIT AGREEMENT</w:t>
      </w:r>
    </w:p>
    <w:p>
      <w:pPr>
        <w:spacing w:after="0" w:line="220"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dated as of</w:t>
      </w:r>
    </w:p>
    <w:p>
      <w:pPr>
        <w:spacing w:after="0" w:line="220"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February 16, 2021</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TECHNIPFMC PLC</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FMC TECHNOLOGIES, INC.,</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as the Borrowers,</w:t>
      </w:r>
    </w:p>
    <w:p>
      <w:pPr>
        <w:spacing w:after="0" w:line="202"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The Lenders and Issuing Banks Party Hereto,</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Administrative Agent</w:t>
      </w:r>
    </w:p>
    <w:p>
      <w:pPr>
        <w:spacing w:after="0" w:line="9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_________________________</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CITIGROUP GLOBAL MARKETS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DNB MARKETS,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SOCIETE GENERALE,</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SUMITOMO MITSUI BANKING CORPORATION,</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WELLS FARGO SECURITIES, LLC, 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BOFA SECURITIES,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Joint Lead Arrangers and Joint Bookrunners</w:t>
      </w:r>
    </w:p>
    <w:p>
      <w:pPr>
        <w:spacing w:after="0" w:line="20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900"/>
        <w:spacing w:after="0"/>
        <w:rPr>
          <w:sz w:val="20"/>
          <w:szCs w:val="20"/>
          <w:color w:val="auto"/>
        </w:rPr>
      </w:pPr>
      <w:r>
        <w:rPr>
          <w:rFonts w:ascii="Arial" w:cs="Arial" w:eastAsia="Arial" w:hAnsi="Arial"/>
          <w:sz w:val="22"/>
          <w:szCs w:val="22"/>
          <w:color w:val="auto"/>
        </w:rPr>
        <w:t>STANDARD CHARTERED BANK,</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484505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9019"/>
          </w:cols>
          <w:pgMar w:left="1440" w:top="1440"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40" w:type="dxa"/>
            <w:vAlign w:val="bottom"/>
            <w:gridSpan w:val="4"/>
          </w:tcPr>
          <w:p>
            <w:pPr>
              <w:jc w:val="center"/>
              <w:ind w:right="4392"/>
              <w:spacing w:after="0"/>
              <w:rPr>
                <w:sz w:val="20"/>
                <w:szCs w:val="20"/>
                <w:color w:val="auto"/>
              </w:rPr>
            </w:pPr>
            <w:r>
              <w:rPr>
                <w:rFonts w:ascii="Arial" w:cs="Arial" w:eastAsia="Arial" w:hAnsi="Arial"/>
                <w:sz w:val="22"/>
                <w:szCs w:val="22"/>
                <w:color w:val="auto"/>
                <w:w w:val="94"/>
              </w:rPr>
              <w:t>TABLE OF CONTENTS</w:t>
            </w:r>
          </w:p>
        </w:tc>
      </w:tr>
      <w:tr>
        <w:trPr>
          <w:trHeight w:val="503"/>
        </w:trPr>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520" w:type="dxa"/>
            <w:vAlign w:val="bottom"/>
          </w:tcPr>
          <w:p>
            <w:pPr>
              <w:ind w:left="4080"/>
              <w:spacing w:after="0"/>
              <w:rPr>
                <w:sz w:val="20"/>
                <w:szCs w:val="20"/>
                <w:color w:val="auto"/>
              </w:rPr>
            </w:pPr>
            <w:r>
              <w:rPr>
                <w:rFonts w:ascii="Arial" w:cs="Arial" w:eastAsia="Arial" w:hAnsi="Arial"/>
                <w:sz w:val="22"/>
                <w:szCs w:val="22"/>
                <w:b w:val="1"/>
                <w:bCs w:val="1"/>
                <w:color w:val="auto"/>
                <w:w w:val="79"/>
              </w:rPr>
              <w:t>Page</w:t>
            </w:r>
          </w:p>
        </w:tc>
      </w:tr>
      <w:tr>
        <w:trPr>
          <w:trHeight w:val="473"/>
        </w:trPr>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3"/>
          </w:tcPr>
          <w:p>
            <w:pPr>
              <w:jc w:val="center"/>
              <w:ind w:right="4392"/>
              <w:spacing w:after="0"/>
              <w:rPr>
                <w:sz w:val="20"/>
                <w:szCs w:val="20"/>
                <w:color w:val="auto"/>
              </w:rPr>
            </w:pPr>
            <w:r>
              <w:rPr>
                <w:rFonts w:ascii="Arial" w:cs="Arial" w:eastAsia="Arial" w:hAnsi="Arial"/>
                <w:sz w:val="22"/>
                <w:szCs w:val="22"/>
                <w:color w:val="auto"/>
                <w:w w:val="96"/>
              </w:rPr>
              <w:t>ARTICLE I</w:t>
            </w:r>
          </w:p>
        </w:tc>
      </w:tr>
      <w:tr>
        <w:trPr>
          <w:trHeight w:val="513"/>
        </w:trPr>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3"/>
          </w:tcPr>
          <w:p>
            <w:pPr>
              <w:jc w:val="center"/>
              <w:ind w:right="4392"/>
              <w:spacing w:after="0"/>
              <w:rPr>
                <w:sz w:val="20"/>
                <w:szCs w:val="20"/>
                <w:color w:val="auto"/>
              </w:rPr>
            </w:pPr>
            <w:r>
              <w:rPr>
                <w:rFonts w:ascii="Arial" w:cs="Arial" w:eastAsia="Arial" w:hAnsi="Arial"/>
                <w:sz w:val="22"/>
                <w:szCs w:val="22"/>
                <w:color w:val="auto"/>
                <w:w w:val="96"/>
              </w:rPr>
              <w:t>DEFINITIONS</w:t>
            </w:r>
          </w:p>
        </w:tc>
      </w:tr>
      <w:tr>
        <w:trPr>
          <w:trHeight w:val="455"/>
        </w:trPr>
        <w:tc>
          <w:tcPr>
            <w:tcW w:w="1500" w:type="dxa"/>
            <w:vAlign w:val="bottom"/>
          </w:tcPr>
          <w:p>
            <w:pPr>
              <w:spacing w:after="0"/>
              <w:rPr>
                <w:sz w:val="20"/>
                <w:szCs w:val="20"/>
                <w:color w:val="auto"/>
              </w:rPr>
            </w:pPr>
            <w:r>
              <w:rPr>
                <w:rFonts w:ascii="Arial" w:cs="Arial" w:eastAsia="Arial" w:hAnsi="Arial"/>
                <w:sz w:val="22"/>
                <w:szCs w:val="22"/>
                <w:color w:val="auto"/>
                <w:w w:val="96"/>
              </w:rPr>
              <w:t>SECTION 1.01.</w:t>
            </w:r>
          </w:p>
        </w:tc>
        <w:tc>
          <w:tcPr>
            <w:tcW w:w="1420" w:type="dxa"/>
            <w:vAlign w:val="bottom"/>
            <w:gridSpan w:val="3"/>
          </w:tcPr>
          <w:p>
            <w:pPr>
              <w:ind w:left="120"/>
              <w:spacing w:after="0"/>
              <w:rPr>
                <w:sz w:val="20"/>
                <w:szCs w:val="20"/>
                <w:color w:val="auto"/>
              </w:rPr>
            </w:pPr>
            <w:r>
              <w:rPr>
                <w:rFonts w:ascii="Arial" w:cs="Arial" w:eastAsia="Arial" w:hAnsi="Arial"/>
                <w:sz w:val="22"/>
                <w:szCs w:val="22"/>
                <w:color w:val="auto"/>
                <w:w w:val="88"/>
              </w:rPr>
              <w:t>Defined Terms</w:t>
            </w:r>
          </w:p>
        </w:tc>
        <w:tc>
          <w:tcPr>
            <w:tcW w:w="740" w:type="dxa"/>
            <w:vAlign w:val="bottom"/>
            <w:gridSpan w:val="2"/>
          </w:tcPr>
          <w:p>
            <w:pPr>
              <w:jc w:val="right"/>
              <w:ind w:right="332"/>
              <w:spacing w:after="0"/>
              <w:rPr>
                <w:sz w:val="20"/>
                <w:szCs w:val="20"/>
                <w:color w:val="auto"/>
              </w:rPr>
            </w:pPr>
            <w:r>
              <w:rPr>
                <w:rFonts w:ascii="Arial" w:cs="Arial" w:eastAsia="Arial" w:hAnsi="Arial"/>
                <w:sz w:val="22"/>
                <w:szCs w:val="22"/>
                <w:color w:val="auto"/>
              </w:rPr>
              <w:t>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1.02.</w:t>
            </w:r>
          </w:p>
        </w:tc>
        <w:tc>
          <w:tcPr>
            <w:tcW w:w="3640" w:type="dxa"/>
            <w:vAlign w:val="bottom"/>
            <w:gridSpan w:val="8"/>
          </w:tcPr>
          <w:p>
            <w:pPr>
              <w:ind w:left="120"/>
              <w:spacing w:after="0"/>
              <w:rPr>
                <w:sz w:val="20"/>
                <w:szCs w:val="20"/>
                <w:color w:val="auto"/>
              </w:rPr>
            </w:pPr>
            <w:r>
              <w:rPr>
                <w:rFonts w:ascii="Arial" w:cs="Arial" w:eastAsia="Arial" w:hAnsi="Arial"/>
                <w:sz w:val="22"/>
                <w:szCs w:val="22"/>
                <w:color w:val="auto"/>
                <w:w w:val="92"/>
              </w:rPr>
              <w:t>Classification of Loans and Borrowings</w:t>
            </w:r>
          </w:p>
        </w:tc>
        <w:tc>
          <w:tcPr>
            <w:tcW w:w="920" w:type="dxa"/>
            <w:vAlign w:val="bottom"/>
          </w:tcPr>
          <w:p>
            <w:pPr>
              <w:jc w:val="right"/>
              <w:ind w:right="472"/>
              <w:spacing w:after="0"/>
              <w:rPr>
                <w:sz w:val="20"/>
                <w:szCs w:val="20"/>
                <w:color w:val="auto"/>
              </w:rPr>
            </w:pPr>
            <w:r>
              <w:rPr>
                <w:rFonts w:ascii="Arial" w:cs="Arial" w:eastAsia="Arial" w:hAnsi="Arial"/>
                <w:sz w:val="22"/>
                <w:szCs w:val="22"/>
                <w:color w:val="auto"/>
              </w:rPr>
              <w:t>59</w:t>
            </w: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1.03.</w:t>
            </w:r>
          </w:p>
        </w:tc>
        <w:tc>
          <w:tcPr>
            <w:tcW w:w="1680" w:type="dxa"/>
            <w:vAlign w:val="bottom"/>
            <w:gridSpan w:val="4"/>
          </w:tcPr>
          <w:p>
            <w:pPr>
              <w:ind w:left="120"/>
              <w:spacing w:after="0"/>
              <w:rPr>
                <w:sz w:val="20"/>
                <w:szCs w:val="20"/>
                <w:color w:val="auto"/>
              </w:rPr>
            </w:pPr>
            <w:r>
              <w:rPr>
                <w:rFonts w:ascii="Arial" w:cs="Arial" w:eastAsia="Arial" w:hAnsi="Arial"/>
                <w:sz w:val="22"/>
                <w:szCs w:val="22"/>
                <w:color w:val="auto"/>
                <w:w w:val="94"/>
              </w:rPr>
              <w:t>Terms Generally</w:t>
            </w:r>
          </w:p>
        </w:tc>
        <w:tc>
          <w:tcPr>
            <w:tcW w:w="480" w:type="dxa"/>
            <w:vAlign w:val="bottom"/>
          </w:tcPr>
          <w:p>
            <w:pPr>
              <w:jc w:val="right"/>
              <w:ind w:right="72"/>
              <w:spacing w:after="0"/>
              <w:rPr>
                <w:sz w:val="20"/>
                <w:szCs w:val="20"/>
                <w:color w:val="auto"/>
              </w:rPr>
            </w:pPr>
            <w:r>
              <w:rPr>
                <w:rFonts w:ascii="Arial" w:cs="Arial" w:eastAsia="Arial" w:hAnsi="Arial"/>
                <w:sz w:val="22"/>
                <w:szCs w:val="22"/>
                <w:color w:val="auto"/>
              </w:rPr>
              <w:t>59</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1.04.</w:t>
            </w:r>
          </w:p>
        </w:tc>
        <w:tc>
          <w:tcPr>
            <w:tcW w:w="3640" w:type="dxa"/>
            <w:vAlign w:val="bottom"/>
            <w:gridSpan w:val="8"/>
          </w:tcPr>
          <w:p>
            <w:pPr>
              <w:ind w:left="120"/>
              <w:spacing w:after="0"/>
              <w:rPr>
                <w:sz w:val="20"/>
                <w:szCs w:val="20"/>
                <w:color w:val="auto"/>
              </w:rPr>
            </w:pPr>
            <w:r>
              <w:rPr>
                <w:rFonts w:ascii="Arial" w:cs="Arial" w:eastAsia="Arial" w:hAnsi="Arial"/>
                <w:sz w:val="22"/>
                <w:szCs w:val="22"/>
                <w:color w:val="auto"/>
              </w:rPr>
              <w:t>Accounting Terms; GAAP  59</w:t>
            </w: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1.05.</w:t>
            </w:r>
          </w:p>
        </w:tc>
        <w:tc>
          <w:tcPr>
            <w:tcW w:w="2160" w:type="dxa"/>
            <w:vAlign w:val="bottom"/>
            <w:gridSpan w:val="5"/>
          </w:tcPr>
          <w:p>
            <w:pPr>
              <w:ind w:left="120"/>
              <w:spacing w:after="0"/>
              <w:rPr>
                <w:sz w:val="20"/>
                <w:szCs w:val="20"/>
                <w:color w:val="auto"/>
              </w:rPr>
            </w:pPr>
            <w:r>
              <w:rPr>
                <w:rFonts w:ascii="Arial" w:cs="Arial" w:eastAsia="Arial" w:hAnsi="Arial"/>
                <w:sz w:val="22"/>
                <w:szCs w:val="22"/>
                <w:color w:val="auto"/>
                <w:w w:val="87"/>
              </w:rPr>
              <w:t>Pro Forma Calculations</w:t>
            </w:r>
          </w:p>
        </w:tc>
        <w:tc>
          <w:tcPr>
            <w:tcW w:w="180" w:type="dxa"/>
            <w:vAlign w:val="bottom"/>
          </w:tcPr>
          <w:p>
            <w:pPr>
              <w:spacing w:after="0"/>
              <w:rPr>
                <w:sz w:val="22"/>
                <w:szCs w:val="22"/>
                <w:color w:val="auto"/>
              </w:rPr>
            </w:pPr>
          </w:p>
        </w:tc>
        <w:tc>
          <w:tcPr>
            <w:tcW w:w="1300" w:type="dxa"/>
            <w:vAlign w:val="bottom"/>
            <w:gridSpan w:val="2"/>
          </w:tcPr>
          <w:p>
            <w:pPr>
              <w:jc w:val="right"/>
              <w:ind w:right="932"/>
              <w:spacing w:after="0"/>
              <w:rPr>
                <w:sz w:val="20"/>
                <w:szCs w:val="20"/>
                <w:color w:val="auto"/>
              </w:rPr>
            </w:pPr>
            <w:r>
              <w:rPr>
                <w:rFonts w:ascii="Arial" w:cs="Arial" w:eastAsia="Arial" w:hAnsi="Arial"/>
                <w:sz w:val="22"/>
                <w:szCs w:val="22"/>
                <w:color w:val="auto"/>
                <w:w w:val="97"/>
              </w:rPr>
              <w:t>60</w:t>
            </w: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1.06.</w:t>
            </w:r>
          </w:p>
        </w:tc>
        <w:tc>
          <w:tcPr>
            <w:tcW w:w="3640" w:type="dxa"/>
            <w:vAlign w:val="bottom"/>
            <w:gridSpan w:val="8"/>
          </w:tcPr>
          <w:p>
            <w:pPr>
              <w:ind w:left="120"/>
              <w:spacing w:after="0"/>
              <w:rPr>
                <w:sz w:val="20"/>
                <w:szCs w:val="20"/>
                <w:color w:val="auto"/>
              </w:rPr>
            </w:pPr>
            <w:r>
              <w:rPr>
                <w:rFonts w:ascii="Arial" w:cs="Arial" w:eastAsia="Arial" w:hAnsi="Arial"/>
                <w:sz w:val="22"/>
                <w:szCs w:val="22"/>
                <w:color w:val="auto"/>
                <w:w w:val="91"/>
              </w:rPr>
              <w:t>Exchange Rates; Currency Equivalents</w:t>
            </w:r>
          </w:p>
        </w:tc>
        <w:tc>
          <w:tcPr>
            <w:tcW w:w="920" w:type="dxa"/>
            <w:vAlign w:val="bottom"/>
          </w:tcPr>
          <w:p>
            <w:pPr>
              <w:jc w:val="right"/>
              <w:ind w:right="532"/>
              <w:spacing w:after="0"/>
              <w:rPr>
                <w:sz w:val="20"/>
                <w:szCs w:val="20"/>
                <w:color w:val="auto"/>
              </w:rPr>
            </w:pPr>
            <w:r>
              <w:rPr>
                <w:rFonts w:ascii="Arial" w:cs="Arial" w:eastAsia="Arial" w:hAnsi="Arial"/>
                <w:sz w:val="22"/>
                <w:szCs w:val="22"/>
                <w:color w:val="auto"/>
              </w:rPr>
              <w:t>60</w:t>
            </w: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1.07.</w:t>
            </w: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Divisions</w:t>
            </w:r>
          </w:p>
        </w:tc>
        <w:tc>
          <w:tcPr>
            <w:tcW w:w="320" w:type="dxa"/>
            <w:vAlign w:val="bottom"/>
          </w:tcPr>
          <w:p>
            <w:pPr>
              <w:jc w:val="right"/>
              <w:spacing w:after="0"/>
              <w:rPr>
                <w:sz w:val="20"/>
                <w:szCs w:val="20"/>
                <w:color w:val="auto"/>
              </w:rPr>
            </w:pPr>
            <w:r>
              <w:rPr>
                <w:rFonts w:ascii="Arial" w:cs="Arial" w:eastAsia="Arial" w:hAnsi="Arial"/>
                <w:sz w:val="22"/>
                <w:szCs w:val="22"/>
                <w:color w:val="auto"/>
              </w:rPr>
              <w:t>61</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1.08.</w:t>
            </w:r>
          </w:p>
        </w:tc>
        <w:tc>
          <w:tcPr>
            <w:tcW w:w="3640" w:type="dxa"/>
            <w:vAlign w:val="bottom"/>
            <w:gridSpan w:val="8"/>
          </w:tcPr>
          <w:p>
            <w:pPr>
              <w:ind w:left="120"/>
              <w:spacing w:after="0"/>
              <w:rPr>
                <w:sz w:val="20"/>
                <w:szCs w:val="20"/>
                <w:color w:val="auto"/>
              </w:rPr>
            </w:pPr>
            <w:r>
              <w:rPr>
                <w:rFonts w:ascii="Arial" w:cs="Arial" w:eastAsia="Arial" w:hAnsi="Arial"/>
                <w:sz w:val="22"/>
                <w:szCs w:val="22"/>
                <w:color w:val="auto"/>
                <w:w w:val="95"/>
              </w:rPr>
              <w:t>Interest Rates; LIBOR Notification  61</w:t>
            </w: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w w:val="96"/>
              </w:rPr>
              <w:t>SECTION 1.09.</w:t>
            </w:r>
          </w:p>
        </w:tc>
        <w:tc>
          <w:tcPr>
            <w:tcW w:w="1420" w:type="dxa"/>
            <w:vAlign w:val="bottom"/>
            <w:gridSpan w:val="3"/>
          </w:tcPr>
          <w:p>
            <w:pPr>
              <w:ind w:left="120"/>
              <w:spacing w:after="0"/>
              <w:rPr>
                <w:sz w:val="20"/>
                <w:szCs w:val="20"/>
                <w:color w:val="auto"/>
              </w:rPr>
            </w:pPr>
            <w:r>
              <w:rPr>
                <w:rFonts w:ascii="Arial" w:cs="Arial" w:eastAsia="Arial" w:hAnsi="Arial"/>
                <w:sz w:val="22"/>
                <w:szCs w:val="22"/>
                <w:color w:val="auto"/>
              </w:rPr>
              <w:t>Dutch Terms</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62</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520" w:type="dxa"/>
            <w:vAlign w:val="bottom"/>
          </w:tcPr>
          <w:p>
            <w:pPr>
              <w:spacing w:after="0"/>
              <w:rPr>
                <w:sz w:val="23"/>
                <w:szCs w:val="23"/>
                <w:color w:val="auto"/>
              </w:rPr>
            </w:pPr>
          </w:p>
        </w:tc>
      </w:tr>
      <w:tr>
        <w:trPr>
          <w:trHeight w:val="473"/>
        </w:trPr>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3"/>
          </w:tcPr>
          <w:p>
            <w:pPr>
              <w:jc w:val="center"/>
              <w:ind w:right="4392"/>
              <w:spacing w:after="0"/>
              <w:rPr>
                <w:sz w:val="20"/>
                <w:szCs w:val="20"/>
                <w:color w:val="auto"/>
              </w:rPr>
            </w:pPr>
            <w:r>
              <w:rPr>
                <w:rFonts w:ascii="Arial" w:cs="Arial" w:eastAsia="Arial" w:hAnsi="Arial"/>
                <w:sz w:val="22"/>
                <w:szCs w:val="22"/>
                <w:color w:val="auto"/>
                <w:w w:val="98"/>
              </w:rPr>
              <w:t>ARTICLE II</w:t>
            </w:r>
          </w:p>
        </w:tc>
      </w:tr>
      <w:tr>
        <w:trPr>
          <w:trHeight w:val="513"/>
        </w:trPr>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3"/>
          </w:tcPr>
          <w:p>
            <w:pPr>
              <w:jc w:val="center"/>
              <w:ind w:right="4392"/>
              <w:spacing w:after="0"/>
              <w:rPr>
                <w:sz w:val="20"/>
                <w:szCs w:val="20"/>
                <w:color w:val="auto"/>
              </w:rPr>
            </w:pPr>
            <w:r>
              <w:rPr>
                <w:rFonts w:ascii="Arial" w:cs="Arial" w:eastAsia="Arial" w:hAnsi="Arial"/>
                <w:sz w:val="22"/>
                <w:szCs w:val="22"/>
                <w:color w:val="auto"/>
                <w:w w:val="94"/>
              </w:rPr>
              <w:t>THE CREDITS</w:t>
            </w:r>
          </w:p>
        </w:tc>
      </w:tr>
      <w:tr>
        <w:trPr>
          <w:trHeight w:val="455"/>
        </w:trPr>
        <w:tc>
          <w:tcPr>
            <w:tcW w:w="1500" w:type="dxa"/>
            <w:vAlign w:val="bottom"/>
          </w:tcPr>
          <w:p>
            <w:pPr>
              <w:spacing w:after="0"/>
              <w:rPr>
                <w:sz w:val="20"/>
                <w:szCs w:val="20"/>
                <w:color w:val="auto"/>
              </w:rPr>
            </w:pPr>
            <w:r>
              <w:rPr>
                <w:rFonts w:ascii="Arial" w:cs="Arial" w:eastAsia="Arial" w:hAnsi="Arial"/>
                <w:sz w:val="22"/>
                <w:szCs w:val="22"/>
                <w:color w:val="auto"/>
                <w:w w:val="96"/>
              </w:rPr>
              <w:t>SECTION 2.01.</w:t>
            </w:r>
          </w:p>
        </w:tc>
        <w:tc>
          <w:tcPr>
            <w:tcW w:w="1420" w:type="dxa"/>
            <w:vAlign w:val="bottom"/>
            <w:gridSpan w:val="3"/>
          </w:tcPr>
          <w:p>
            <w:pPr>
              <w:ind w:left="120"/>
              <w:spacing w:after="0"/>
              <w:rPr>
                <w:sz w:val="20"/>
                <w:szCs w:val="20"/>
                <w:color w:val="auto"/>
              </w:rPr>
            </w:pPr>
            <w:r>
              <w:rPr>
                <w:rFonts w:ascii="Arial" w:cs="Arial" w:eastAsia="Arial" w:hAnsi="Arial"/>
                <w:sz w:val="22"/>
                <w:szCs w:val="22"/>
                <w:color w:val="auto"/>
                <w:w w:val="94"/>
              </w:rPr>
              <w:t>Commitments</w:t>
            </w:r>
          </w:p>
        </w:tc>
        <w:tc>
          <w:tcPr>
            <w:tcW w:w="740" w:type="dxa"/>
            <w:vAlign w:val="bottom"/>
            <w:gridSpan w:val="2"/>
          </w:tcPr>
          <w:p>
            <w:pPr>
              <w:jc w:val="right"/>
              <w:ind w:right="272"/>
              <w:spacing w:after="0"/>
              <w:rPr>
                <w:sz w:val="20"/>
                <w:szCs w:val="20"/>
                <w:color w:val="auto"/>
              </w:rPr>
            </w:pPr>
            <w:r>
              <w:rPr>
                <w:rFonts w:ascii="Arial" w:cs="Arial" w:eastAsia="Arial" w:hAnsi="Arial"/>
                <w:sz w:val="22"/>
                <w:szCs w:val="22"/>
                <w:color w:val="auto"/>
              </w:rPr>
              <w:t>63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2.02.</w:t>
            </w:r>
          </w:p>
        </w:tc>
        <w:tc>
          <w:tcPr>
            <w:tcW w:w="2160" w:type="dxa"/>
            <w:vAlign w:val="bottom"/>
            <w:gridSpan w:val="5"/>
          </w:tcPr>
          <w:p>
            <w:pPr>
              <w:ind w:left="120"/>
              <w:spacing w:after="0"/>
              <w:rPr>
                <w:sz w:val="20"/>
                <w:szCs w:val="20"/>
                <w:color w:val="auto"/>
              </w:rPr>
            </w:pPr>
            <w:r>
              <w:rPr>
                <w:rFonts w:ascii="Arial" w:cs="Arial" w:eastAsia="Arial" w:hAnsi="Arial"/>
                <w:sz w:val="22"/>
                <w:szCs w:val="22"/>
                <w:color w:val="auto"/>
                <w:w w:val="92"/>
              </w:rPr>
              <w:t>Loans and Borrowings</w:t>
            </w:r>
          </w:p>
        </w:tc>
        <w:tc>
          <w:tcPr>
            <w:tcW w:w="1480" w:type="dxa"/>
            <w:vAlign w:val="bottom"/>
            <w:gridSpan w:val="3"/>
          </w:tcPr>
          <w:p>
            <w:pPr>
              <w:jc w:val="right"/>
              <w:ind w:right="1012"/>
              <w:spacing w:after="0"/>
              <w:rPr>
                <w:sz w:val="20"/>
                <w:szCs w:val="20"/>
                <w:color w:val="auto"/>
              </w:rPr>
            </w:pPr>
            <w:r>
              <w:rPr>
                <w:rFonts w:ascii="Arial" w:cs="Arial" w:eastAsia="Arial" w:hAnsi="Arial"/>
                <w:sz w:val="22"/>
                <w:szCs w:val="22"/>
                <w:color w:val="auto"/>
              </w:rPr>
              <w:t>63</w:t>
            </w: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2.03.</w:t>
            </w:r>
          </w:p>
        </w:tc>
        <w:tc>
          <w:tcPr>
            <w:tcW w:w="2340" w:type="dxa"/>
            <w:vAlign w:val="bottom"/>
            <w:gridSpan w:val="6"/>
          </w:tcPr>
          <w:p>
            <w:pPr>
              <w:ind w:left="120"/>
              <w:spacing w:after="0"/>
              <w:rPr>
                <w:sz w:val="20"/>
                <w:szCs w:val="20"/>
                <w:color w:val="auto"/>
              </w:rPr>
            </w:pPr>
            <w:r>
              <w:rPr>
                <w:rFonts w:ascii="Arial" w:cs="Arial" w:eastAsia="Arial" w:hAnsi="Arial"/>
                <w:sz w:val="22"/>
                <w:szCs w:val="22"/>
                <w:color w:val="auto"/>
                <w:w w:val="91"/>
              </w:rPr>
              <w:t>Requests for Borrowings</w:t>
            </w:r>
          </w:p>
        </w:tc>
        <w:tc>
          <w:tcPr>
            <w:tcW w:w="1300" w:type="dxa"/>
            <w:vAlign w:val="bottom"/>
            <w:gridSpan w:val="2"/>
          </w:tcPr>
          <w:p>
            <w:pPr>
              <w:jc w:val="right"/>
              <w:ind w:right="832"/>
              <w:spacing w:after="0"/>
              <w:rPr>
                <w:sz w:val="20"/>
                <w:szCs w:val="20"/>
                <w:color w:val="auto"/>
              </w:rPr>
            </w:pPr>
            <w:r>
              <w:rPr>
                <w:rFonts w:ascii="Arial" w:cs="Arial" w:eastAsia="Arial" w:hAnsi="Arial"/>
                <w:sz w:val="22"/>
                <w:szCs w:val="22"/>
                <w:color w:val="auto"/>
              </w:rPr>
              <w:t>64</w:t>
            </w: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2.04.</w:t>
            </w: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w w:val="90"/>
              </w:rPr>
              <w:t>[Reserved]</w:t>
            </w:r>
          </w:p>
        </w:tc>
        <w:tc>
          <w:tcPr>
            <w:tcW w:w="580" w:type="dxa"/>
            <w:vAlign w:val="bottom"/>
            <w:gridSpan w:val="2"/>
          </w:tcPr>
          <w:p>
            <w:pPr>
              <w:jc w:val="right"/>
              <w:ind w:right="72"/>
              <w:spacing w:after="0"/>
              <w:rPr>
                <w:sz w:val="20"/>
                <w:szCs w:val="20"/>
                <w:color w:val="auto"/>
              </w:rPr>
            </w:pPr>
            <w:r>
              <w:rPr>
                <w:rFonts w:ascii="Arial" w:cs="Arial" w:eastAsia="Arial" w:hAnsi="Arial"/>
                <w:sz w:val="22"/>
                <w:szCs w:val="22"/>
                <w:color w:val="auto"/>
              </w:rPr>
              <w:t>65</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2.05.</w:t>
            </w:r>
          </w:p>
        </w:tc>
        <w:tc>
          <w:tcPr>
            <w:tcW w:w="1680" w:type="dxa"/>
            <w:vAlign w:val="bottom"/>
            <w:gridSpan w:val="4"/>
          </w:tcPr>
          <w:p>
            <w:pPr>
              <w:ind w:left="120"/>
              <w:spacing w:after="0"/>
              <w:rPr>
                <w:sz w:val="20"/>
                <w:szCs w:val="20"/>
                <w:color w:val="auto"/>
              </w:rPr>
            </w:pPr>
            <w:r>
              <w:rPr>
                <w:rFonts w:ascii="Arial" w:cs="Arial" w:eastAsia="Arial" w:hAnsi="Arial"/>
                <w:sz w:val="22"/>
                <w:szCs w:val="22"/>
                <w:color w:val="auto"/>
                <w:w w:val="98"/>
              </w:rPr>
              <w:t>Letters of Credit</w:t>
            </w:r>
          </w:p>
        </w:tc>
        <w:tc>
          <w:tcPr>
            <w:tcW w:w="480" w:type="dxa"/>
            <w:vAlign w:val="bottom"/>
          </w:tcPr>
          <w:p>
            <w:pPr>
              <w:jc w:val="right"/>
              <w:ind w:right="72"/>
              <w:spacing w:after="0"/>
              <w:rPr>
                <w:sz w:val="20"/>
                <w:szCs w:val="20"/>
                <w:color w:val="auto"/>
              </w:rPr>
            </w:pPr>
            <w:r>
              <w:rPr>
                <w:rFonts w:ascii="Arial" w:cs="Arial" w:eastAsia="Arial" w:hAnsi="Arial"/>
                <w:sz w:val="22"/>
                <w:szCs w:val="22"/>
                <w:color w:val="auto"/>
              </w:rPr>
              <w:t>65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2.06.</w:t>
            </w:r>
          </w:p>
        </w:tc>
        <w:tc>
          <w:tcPr>
            <w:tcW w:w="2160" w:type="dxa"/>
            <w:vAlign w:val="bottom"/>
            <w:gridSpan w:val="5"/>
          </w:tcPr>
          <w:p>
            <w:pPr>
              <w:ind w:left="120"/>
              <w:spacing w:after="0"/>
              <w:rPr>
                <w:sz w:val="20"/>
                <w:szCs w:val="20"/>
                <w:color w:val="auto"/>
              </w:rPr>
            </w:pPr>
            <w:r>
              <w:rPr>
                <w:rFonts w:ascii="Arial" w:cs="Arial" w:eastAsia="Arial" w:hAnsi="Arial"/>
                <w:sz w:val="22"/>
                <w:szCs w:val="22"/>
                <w:color w:val="auto"/>
                <w:w w:val="91"/>
              </w:rPr>
              <w:t>Funding of Borrowings</w:t>
            </w:r>
          </w:p>
        </w:tc>
        <w:tc>
          <w:tcPr>
            <w:tcW w:w="180" w:type="dxa"/>
            <w:vAlign w:val="bottom"/>
          </w:tcPr>
          <w:p>
            <w:pPr>
              <w:spacing w:after="0"/>
              <w:rPr>
                <w:sz w:val="22"/>
                <w:szCs w:val="22"/>
                <w:color w:val="auto"/>
              </w:rPr>
            </w:pPr>
          </w:p>
        </w:tc>
        <w:tc>
          <w:tcPr>
            <w:tcW w:w="1300" w:type="dxa"/>
            <w:vAlign w:val="bottom"/>
            <w:gridSpan w:val="2"/>
          </w:tcPr>
          <w:p>
            <w:pPr>
              <w:jc w:val="right"/>
              <w:ind w:right="952"/>
              <w:spacing w:after="0"/>
              <w:rPr>
                <w:sz w:val="20"/>
                <w:szCs w:val="20"/>
                <w:color w:val="auto"/>
              </w:rPr>
            </w:pPr>
            <w:r>
              <w:rPr>
                <w:rFonts w:ascii="Arial" w:cs="Arial" w:eastAsia="Arial" w:hAnsi="Arial"/>
                <w:sz w:val="22"/>
                <w:szCs w:val="22"/>
                <w:color w:val="auto"/>
                <w:w w:val="89"/>
              </w:rPr>
              <w:t>71</w:t>
            </w: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2.07.</w:t>
            </w:r>
          </w:p>
        </w:tc>
        <w:tc>
          <w:tcPr>
            <w:tcW w:w="1680" w:type="dxa"/>
            <w:vAlign w:val="bottom"/>
            <w:gridSpan w:val="4"/>
          </w:tcPr>
          <w:p>
            <w:pPr>
              <w:ind w:left="120"/>
              <w:spacing w:after="0"/>
              <w:rPr>
                <w:sz w:val="20"/>
                <w:szCs w:val="20"/>
                <w:color w:val="auto"/>
              </w:rPr>
            </w:pPr>
            <w:r>
              <w:rPr>
                <w:rFonts w:ascii="Arial" w:cs="Arial" w:eastAsia="Arial" w:hAnsi="Arial"/>
                <w:sz w:val="22"/>
                <w:szCs w:val="22"/>
                <w:color w:val="auto"/>
                <w:w w:val="91"/>
              </w:rPr>
              <w:t>Interest Elections</w:t>
            </w:r>
          </w:p>
        </w:tc>
        <w:tc>
          <w:tcPr>
            <w:tcW w:w="480" w:type="dxa"/>
            <w:vAlign w:val="bottom"/>
          </w:tcPr>
          <w:p>
            <w:pPr>
              <w:jc w:val="right"/>
              <w:spacing w:after="0"/>
              <w:rPr>
                <w:sz w:val="20"/>
                <w:szCs w:val="20"/>
                <w:color w:val="auto"/>
              </w:rPr>
            </w:pPr>
            <w:r>
              <w:rPr>
                <w:rFonts w:ascii="Arial" w:cs="Arial" w:eastAsia="Arial" w:hAnsi="Arial"/>
                <w:sz w:val="22"/>
                <w:szCs w:val="22"/>
                <w:color w:val="auto"/>
              </w:rPr>
              <w:t>72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2.08.</w:t>
            </w:r>
          </w:p>
        </w:tc>
        <w:tc>
          <w:tcPr>
            <w:tcW w:w="9080" w:type="dxa"/>
            <w:vAlign w:val="bottom"/>
            <w:gridSpan w:val="10"/>
          </w:tcPr>
          <w:p>
            <w:pPr>
              <w:ind w:left="120"/>
              <w:spacing w:after="0"/>
              <w:rPr>
                <w:sz w:val="20"/>
                <w:szCs w:val="20"/>
                <w:color w:val="auto"/>
              </w:rPr>
            </w:pPr>
            <w:r>
              <w:rPr>
                <w:rFonts w:ascii="Arial" w:cs="Arial" w:eastAsia="Arial" w:hAnsi="Arial"/>
                <w:sz w:val="22"/>
                <w:szCs w:val="22"/>
                <w:color w:val="auto"/>
              </w:rPr>
              <w:t>Termination and Reduction of Commitments  73</w:t>
            </w: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2.09.</w:t>
            </w:r>
          </w:p>
        </w:tc>
        <w:tc>
          <w:tcPr>
            <w:tcW w:w="3640" w:type="dxa"/>
            <w:vAlign w:val="bottom"/>
            <w:gridSpan w:val="8"/>
          </w:tcPr>
          <w:p>
            <w:pPr>
              <w:ind w:left="120"/>
              <w:spacing w:after="0"/>
              <w:rPr>
                <w:sz w:val="20"/>
                <w:szCs w:val="20"/>
                <w:color w:val="auto"/>
              </w:rPr>
            </w:pPr>
            <w:r>
              <w:rPr>
                <w:rFonts w:ascii="Arial" w:cs="Arial" w:eastAsia="Arial" w:hAnsi="Arial"/>
                <w:sz w:val="22"/>
                <w:szCs w:val="22"/>
                <w:color w:val="auto"/>
                <w:w w:val="91"/>
              </w:rPr>
              <w:t>Repayment of Loans; Evidence of Debt</w:t>
            </w:r>
          </w:p>
        </w:tc>
        <w:tc>
          <w:tcPr>
            <w:tcW w:w="920" w:type="dxa"/>
            <w:vAlign w:val="bottom"/>
          </w:tcPr>
          <w:p>
            <w:pPr>
              <w:jc w:val="right"/>
              <w:ind w:right="472"/>
              <w:spacing w:after="0"/>
              <w:rPr>
                <w:sz w:val="20"/>
                <w:szCs w:val="20"/>
                <w:color w:val="auto"/>
              </w:rPr>
            </w:pPr>
            <w:r>
              <w:rPr>
                <w:rFonts w:ascii="Arial" w:cs="Arial" w:eastAsia="Arial" w:hAnsi="Arial"/>
                <w:sz w:val="22"/>
                <w:szCs w:val="22"/>
                <w:color w:val="auto"/>
              </w:rPr>
              <w:t>74</w:t>
            </w:r>
          </w:p>
        </w:tc>
        <w:tc>
          <w:tcPr>
            <w:tcW w:w="452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2.10.</w:t>
            </w: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w w:val="90"/>
              </w:rPr>
              <w:t>[Reserved]</w:t>
            </w:r>
          </w:p>
        </w:tc>
        <w:tc>
          <w:tcPr>
            <w:tcW w:w="580" w:type="dxa"/>
            <w:vAlign w:val="bottom"/>
            <w:gridSpan w:val="2"/>
          </w:tcPr>
          <w:p>
            <w:pPr>
              <w:jc w:val="right"/>
              <w:ind w:right="72"/>
              <w:spacing w:after="0"/>
              <w:rPr>
                <w:sz w:val="20"/>
                <w:szCs w:val="20"/>
                <w:color w:val="auto"/>
              </w:rPr>
            </w:pPr>
            <w:r>
              <w:rPr>
                <w:rFonts w:ascii="Arial" w:cs="Arial" w:eastAsia="Arial" w:hAnsi="Arial"/>
                <w:sz w:val="22"/>
                <w:szCs w:val="22"/>
                <w:color w:val="auto"/>
              </w:rPr>
              <w:t>74</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2.11.</w:t>
            </w:r>
          </w:p>
        </w:tc>
        <w:tc>
          <w:tcPr>
            <w:tcW w:w="2160" w:type="dxa"/>
            <w:vAlign w:val="bottom"/>
            <w:gridSpan w:val="5"/>
          </w:tcPr>
          <w:p>
            <w:pPr>
              <w:ind w:left="100"/>
              <w:spacing w:after="0"/>
              <w:rPr>
                <w:sz w:val="20"/>
                <w:szCs w:val="20"/>
                <w:color w:val="auto"/>
              </w:rPr>
            </w:pPr>
            <w:r>
              <w:rPr>
                <w:rFonts w:ascii="Arial" w:cs="Arial" w:eastAsia="Arial" w:hAnsi="Arial"/>
                <w:sz w:val="22"/>
                <w:szCs w:val="22"/>
                <w:color w:val="auto"/>
                <w:w w:val="97"/>
              </w:rPr>
              <w:t>Prepayment of Loans</w:t>
            </w:r>
          </w:p>
        </w:tc>
        <w:tc>
          <w:tcPr>
            <w:tcW w:w="1480" w:type="dxa"/>
            <w:vAlign w:val="bottom"/>
            <w:gridSpan w:val="3"/>
          </w:tcPr>
          <w:p>
            <w:pPr>
              <w:jc w:val="right"/>
              <w:ind w:right="1152"/>
              <w:spacing w:after="0"/>
              <w:rPr>
                <w:sz w:val="20"/>
                <w:szCs w:val="20"/>
                <w:color w:val="auto"/>
              </w:rPr>
            </w:pPr>
            <w:r>
              <w:rPr>
                <w:rFonts w:ascii="Arial" w:cs="Arial" w:eastAsia="Arial" w:hAnsi="Arial"/>
                <w:sz w:val="22"/>
                <w:szCs w:val="22"/>
                <w:color w:val="auto"/>
                <w:w w:val="81"/>
              </w:rPr>
              <w:t>74</w:t>
            </w: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2.12.</w:t>
            </w:r>
          </w:p>
        </w:tc>
        <w:tc>
          <w:tcPr>
            <w:tcW w:w="680" w:type="dxa"/>
            <w:vAlign w:val="bottom"/>
          </w:tcPr>
          <w:p>
            <w:pPr>
              <w:ind w:left="120"/>
              <w:spacing w:after="0"/>
              <w:rPr>
                <w:sz w:val="20"/>
                <w:szCs w:val="20"/>
                <w:color w:val="auto"/>
              </w:rPr>
            </w:pPr>
            <w:r>
              <w:rPr>
                <w:rFonts w:ascii="Arial" w:cs="Arial" w:eastAsia="Arial" w:hAnsi="Arial"/>
                <w:sz w:val="22"/>
                <w:szCs w:val="22"/>
                <w:color w:val="auto"/>
              </w:rPr>
              <w:t>Fees</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w w:val="97"/>
              </w:rPr>
              <w:t>75</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2.13.</w:t>
            </w:r>
          </w:p>
        </w:tc>
        <w:tc>
          <w:tcPr>
            <w:tcW w:w="1420" w:type="dxa"/>
            <w:vAlign w:val="bottom"/>
            <w:gridSpan w:val="3"/>
          </w:tcPr>
          <w:p>
            <w:pPr>
              <w:ind w:left="120"/>
              <w:spacing w:after="0"/>
              <w:rPr>
                <w:sz w:val="20"/>
                <w:szCs w:val="20"/>
                <w:color w:val="auto"/>
              </w:rPr>
            </w:pPr>
            <w:r>
              <w:rPr>
                <w:rFonts w:ascii="Arial" w:cs="Arial" w:eastAsia="Arial" w:hAnsi="Arial"/>
                <w:sz w:val="22"/>
                <w:szCs w:val="22"/>
                <w:color w:val="auto"/>
              </w:rPr>
              <w:t>Interest  76</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2.14.</w:t>
            </w:r>
          </w:p>
        </w:tc>
        <w:tc>
          <w:tcPr>
            <w:tcW w:w="2340" w:type="dxa"/>
            <w:vAlign w:val="bottom"/>
            <w:gridSpan w:val="6"/>
          </w:tcPr>
          <w:p>
            <w:pPr>
              <w:ind w:left="120"/>
              <w:spacing w:after="0"/>
              <w:rPr>
                <w:sz w:val="20"/>
                <w:szCs w:val="20"/>
                <w:color w:val="auto"/>
              </w:rPr>
            </w:pPr>
            <w:r>
              <w:rPr>
                <w:rFonts w:ascii="Arial" w:cs="Arial" w:eastAsia="Arial" w:hAnsi="Arial"/>
                <w:sz w:val="22"/>
                <w:szCs w:val="22"/>
                <w:color w:val="auto"/>
                <w:w w:val="89"/>
              </w:rPr>
              <w:t>Alternate Rate of Interest</w:t>
            </w:r>
          </w:p>
        </w:tc>
        <w:tc>
          <w:tcPr>
            <w:tcW w:w="1300" w:type="dxa"/>
            <w:vAlign w:val="bottom"/>
            <w:gridSpan w:val="2"/>
          </w:tcPr>
          <w:p>
            <w:pPr>
              <w:jc w:val="right"/>
              <w:ind w:right="792"/>
              <w:spacing w:after="0"/>
              <w:rPr>
                <w:sz w:val="20"/>
                <w:szCs w:val="20"/>
                <w:color w:val="auto"/>
              </w:rPr>
            </w:pPr>
            <w:r>
              <w:rPr>
                <w:rFonts w:ascii="Arial" w:cs="Arial" w:eastAsia="Arial" w:hAnsi="Arial"/>
                <w:sz w:val="22"/>
                <w:szCs w:val="22"/>
                <w:color w:val="auto"/>
              </w:rPr>
              <w:t>77</w:t>
            </w: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2.15.</w:t>
            </w:r>
          </w:p>
        </w:tc>
        <w:tc>
          <w:tcPr>
            <w:tcW w:w="1680" w:type="dxa"/>
            <w:vAlign w:val="bottom"/>
            <w:gridSpan w:val="4"/>
          </w:tcPr>
          <w:p>
            <w:pPr>
              <w:ind w:left="120"/>
              <w:spacing w:after="0"/>
              <w:rPr>
                <w:sz w:val="20"/>
                <w:szCs w:val="20"/>
                <w:color w:val="auto"/>
              </w:rPr>
            </w:pPr>
            <w:r>
              <w:rPr>
                <w:rFonts w:ascii="Arial" w:cs="Arial" w:eastAsia="Arial" w:hAnsi="Arial"/>
                <w:sz w:val="22"/>
                <w:szCs w:val="22"/>
                <w:color w:val="auto"/>
                <w:w w:val="96"/>
              </w:rPr>
              <w:t>Increased Costs</w:t>
            </w:r>
          </w:p>
        </w:tc>
        <w:tc>
          <w:tcPr>
            <w:tcW w:w="480" w:type="dxa"/>
            <w:vAlign w:val="bottom"/>
          </w:tcPr>
          <w:p>
            <w:pPr>
              <w:jc w:val="right"/>
              <w:ind w:right="152"/>
              <w:spacing w:after="0"/>
              <w:rPr>
                <w:sz w:val="20"/>
                <w:szCs w:val="20"/>
                <w:color w:val="auto"/>
              </w:rPr>
            </w:pPr>
            <w:r>
              <w:rPr>
                <w:rFonts w:ascii="Arial" w:cs="Arial" w:eastAsia="Arial" w:hAnsi="Arial"/>
                <w:sz w:val="22"/>
                <w:szCs w:val="22"/>
                <w:color w:val="auto"/>
                <w:w w:val="81"/>
              </w:rPr>
              <w:t>80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2.16.</w:t>
            </w:r>
          </w:p>
        </w:tc>
        <w:tc>
          <w:tcPr>
            <w:tcW w:w="2340" w:type="dxa"/>
            <w:vAlign w:val="bottom"/>
            <w:gridSpan w:val="6"/>
          </w:tcPr>
          <w:p>
            <w:pPr>
              <w:ind w:left="120"/>
              <w:spacing w:after="0"/>
              <w:rPr>
                <w:sz w:val="20"/>
                <w:szCs w:val="20"/>
                <w:color w:val="auto"/>
              </w:rPr>
            </w:pPr>
            <w:r>
              <w:rPr>
                <w:rFonts w:ascii="Arial" w:cs="Arial" w:eastAsia="Arial" w:hAnsi="Arial"/>
                <w:sz w:val="22"/>
                <w:szCs w:val="22"/>
                <w:color w:val="auto"/>
                <w:w w:val="89"/>
              </w:rPr>
              <w:t>Break Funding Payments</w:t>
            </w:r>
          </w:p>
        </w:tc>
        <w:tc>
          <w:tcPr>
            <w:tcW w:w="1300" w:type="dxa"/>
            <w:vAlign w:val="bottom"/>
            <w:gridSpan w:val="2"/>
          </w:tcPr>
          <w:p>
            <w:pPr>
              <w:jc w:val="right"/>
              <w:ind w:right="812"/>
              <w:spacing w:after="0"/>
              <w:rPr>
                <w:sz w:val="20"/>
                <w:szCs w:val="20"/>
                <w:color w:val="auto"/>
              </w:rPr>
            </w:pPr>
            <w:r>
              <w:rPr>
                <w:rFonts w:ascii="Arial" w:cs="Arial" w:eastAsia="Arial" w:hAnsi="Arial"/>
                <w:sz w:val="22"/>
                <w:szCs w:val="22"/>
                <w:color w:val="auto"/>
              </w:rPr>
              <w:t>82</w:t>
            </w: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2.17.</w:t>
            </w:r>
          </w:p>
        </w:tc>
        <w:tc>
          <w:tcPr>
            <w:tcW w:w="680" w:type="dxa"/>
            <w:vAlign w:val="bottom"/>
          </w:tcPr>
          <w:p>
            <w:pPr>
              <w:ind w:left="120"/>
              <w:spacing w:after="0"/>
              <w:rPr>
                <w:sz w:val="20"/>
                <w:szCs w:val="20"/>
                <w:color w:val="auto"/>
              </w:rPr>
            </w:pPr>
            <w:r>
              <w:rPr>
                <w:rFonts w:ascii="Arial" w:cs="Arial" w:eastAsia="Arial" w:hAnsi="Arial"/>
                <w:sz w:val="22"/>
                <w:szCs w:val="22"/>
                <w:color w:val="auto"/>
                <w:w w:val="90"/>
              </w:rPr>
              <w:t>Taxes</w:t>
            </w:r>
          </w:p>
        </w:tc>
        <w:tc>
          <w:tcPr>
            <w:tcW w:w="420" w:type="dxa"/>
            <w:vAlign w:val="bottom"/>
          </w:tcPr>
          <w:p>
            <w:pPr>
              <w:jc w:val="right"/>
              <w:spacing w:after="0"/>
              <w:rPr>
                <w:sz w:val="20"/>
                <w:szCs w:val="20"/>
                <w:color w:val="auto"/>
              </w:rPr>
            </w:pPr>
            <w:r>
              <w:rPr>
                <w:rFonts w:ascii="Arial" w:cs="Arial" w:eastAsia="Arial" w:hAnsi="Arial"/>
                <w:sz w:val="22"/>
                <w:szCs w:val="22"/>
                <w:color w:val="auto"/>
              </w:rPr>
              <w:t>82</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2.18.</w:t>
            </w:r>
          </w:p>
        </w:tc>
        <w:tc>
          <w:tcPr>
            <w:tcW w:w="9080" w:type="dxa"/>
            <w:vAlign w:val="bottom"/>
            <w:gridSpan w:val="10"/>
          </w:tcPr>
          <w:p>
            <w:pPr>
              <w:ind w:left="120"/>
              <w:spacing w:after="0"/>
              <w:rPr>
                <w:sz w:val="20"/>
                <w:szCs w:val="20"/>
                <w:color w:val="auto"/>
              </w:rPr>
            </w:pPr>
            <w:r>
              <w:rPr>
                <w:rFonts w:ascii="Arial" w:cs="Arial" w:eastAsia="Arial" w:hAnsi="Arial"/>
                <w:sz w:val="22"/>
                <w:szCs w:val="22"/>
                <w:color w:val="auto"/>
              </w:rPr>
              <w:t>Payments Generally; Pro Rata Treatment; Sharing of Setoffs; Application of Proceeds  89</w:t>
            </w: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2.19.</w:t>
            </w:r>
          </w:p>
        </w:tc>
        <w:tc>
          <w:tcPr>
            <w:tcW w:w="9080" w:type="dxa"/>
            <w:vAlign w:val="bottom"/>
            <w:gridSpan w:val="10"/>
          </w:tcPr>
          <w:p>
            <w:pPr>
              <w:ind w:left="120"/>
              <w:spacing w:after="0"/>
              <w:rPr>
                <w:sz w:val="20"/>
                <w:szCs w:val="20"/>
                <w:color w:val="auto"/>
              </w:rPr>
            </w:pPr>
            <w:r>
              <w:rPr>
                <w:rFonts w:ascii="Arial" w:cs="Arial" w:eastAsia="Arial" w:hAnsi="Arial"/>
                <w:sz w:val="22"/>
                <w:szCs w:val="22"/>
                <w:color w:val="auto"/>
              </w:rPr>
              <w:t>Mitigation Obligations; Replacement of Lenders  91</w:t>
            </w: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w w:val="96"/>
              </w:rPr>
              <w:t>SECTION 2.20.</w:t>
            </w:r>
          </w:p>
        </w:tc>
        <w:tc>
          <w:tcPr>
            <w:tcW w:w="2340" w:type="dxa"/>
            <w:vAlign w:val="bottom"/>
            <w:gridSpan w:val="6"/>
          </w:tcPr>
          <w:p>
            <w:pPr>
              <w:ind w:left="120"/>
              <w:spacing w:after="0"/>
              <w:rPr>
                <w:sz w:val="20"/>
                <w:szCs w:val="20"/>
                <w:color w:val="auto"/>
              </w:rPr>
            </w:pPr>
            <w:r>
              <w:rPr>
                <w:rFonts w:ascii="Arial" w:cs="Arial" w:eastAsia="Arial" w:hAnsi="Arial"/>
                <w:sz w:val="22"/>
                <w:szCs w:val="22"/>
                <w:color w:val="auto"/>
                <w:w w:val="99"/>
              </w:rPr>
              <w:t>Defaulting Lenders  92</w:t>
            </w: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5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580"/>
          </w:cols>
          <w:pgMar w:left="980" w:top="1399" w:right="339" w:bottom="1440" w:gutter="0" w:footer="0" w:header="0"/>
        </w:sectPr>
      </w:pPr>
    </w:p>
    <w:bookmarkStart w:id="73" w:name="page74"/>
    <w:bookmarkEnd w:id="73"/>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gridSpan w:val="3"/>
          </w:tcPr>
          <w:p>
            <w:pPr>
              <w:jc w:val="center"/>
              <w:ind w:left="92"/>
              <w:spacing w:after="0"/>
              <w:rPr>
                <w:sz w:val="20"/>
                <w:szCs w:val="20"/>
                <w:color w:val="auto"/>
              </w:rPr>
            </w:pPr>
            <w:r>
              <w:rPr>
                <w:rFonts w:ascii="Arial" w:cs="Arial" w:eastAsia="Arial" w:hAnsi="Arial"/>
                <w:sz w:val="22"/>
                <w:szCs w:val="22"/>
                <w:color w:val="auto"/>
                <w:w w:val="98"/>
              </w:rPr>
              <w:t>ARTICLE III</w:t>
            </w:r>
          </w:p>
        </w:tc>
        <w:tc>
          <w:tcPr>
            <w:tcW w:w="1560" w:type="dxa"/>
            <w:vAlign w:val="bottom"/>
          </w:tcPr>
          <w:p>
            <w:pPr>
              <w:spacing w:after="0"/>
              <w:rPr>
                <w:sz w:val="23"/>
                <w:szCs w:val="23"/>
                <w:color w:val="auto"/>
              </w:rPr>
            </w:pPr>
          </w:p>
        </w:tc>
      </w:tr>
      <w:tr>
        <w:trPr>
          <w:trHeight w:val="513"/>
        </w:trPr>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8"/>
          </w:tcPr>
          <w:p>
            <w:pPr>
              <w:jc w:val="center"/>
              <w:spacing w:after="0"/>
              <w:rPr>
                <w:sz w:val="20"/>
                <w:szCs w:val="20"/>
                <w:color w:val="auto"/>
              </w:rPr>
            </w:pPr>
            <w:r>
              <w:rPr>
                <w:rFonts w:ascii="Arial" w:cs="Arial" w:eastAsia="Arial" w:hAnsi="Arial"/>
                <w:sz w:val="22"/>
                <w:szCs w:val="22"/>
                <w:color w:val="auto"/>
                <w:w w:val="92"/>
              </w:rPr>
              <w:t>REPRESENTATIONS AND WARRANTIES</w:t>
            </w:r>
          </w:p>
        </w:tc>
      </w:tr>
      <w:tr>
        <w:trPr>
          <w:trHeight w:val="455"/>
        </w:trPr>
        <w:tc>
          <w:tcPr>
            <w:tcW w:w="1500" w:type="dxa"/>
            <w:vAlign w:val="bottom"/>
          </w:tcPr>
          <w:p>
            <w:pPr>
              <w:spacing w:after="0"/>
              <w:rPr>
                <w:sz w:val="20"/>
                <w:szCs w:val="20"/>
                <w:color w:val="auto"/>
              </w:rPr>
            </w:pPr>
            <w:r>
              <w:rPr>
                <w:rFonts w:ascii="Arial" w:cs="Arial" w:eastAsia="Arial" w:hAnsi="Arial"/>
                <w:sz w:val="22"/>
                <w:szCs w:val="22"/>
                <w:color w:val="auto"/>
                <w:w w:val="96"/>
              </w:rPr>
              <w:t>SECTION 3.01.</w:t>
            </w:r>
          </w:p>
        </w:tc>
        <w:tc>
          <w:tcPr>
            <w:tcW w:w="2200" w:type="dxa"/>
            <w:vAlign w:val="bottom"/>
            <w:gridSpan w:val="5"/>
          </w:tcPr>
          <w:p>
            <w:pPr>
              <w:ind w:left="120"/>
              <w:spacing w:after="0"/>
              <w:rPr>
                <w:sz w:val="20"/>
                <w:szCs w:val="20"/>
                <w:color w:val="auto"/>
              </w:rPr>
            </w:pPr>
            <w:r>
              <w:rPr>
                <w:rFonts w:ascii="Arial" w:cs="Arial" w:eastAsia="Arial" w:hAnsi="Arial"/>
                <w:sz w:val="22"/>
                <w:szCs w:val="22"/>
                <w:color w:val="auto"/>
                <w:w w:val="97"/>
              </w:rPr>
              <w:t>Organization; Powers</w:t>
            </w:r>
          </w:p>
        </w:tc>
        <w:tc>
          <w:tcPr>
            <w:tcW w:w="400" w:type="dxa"/>
            <w:vAlign w:val="bottom"/>
          </w:tcPr>
          <w:p>
            <w:pPr>
              <w:spacing w:after="0"/>
              <w:rPr>
                <w:sz w:val="20"/>
                <w:szCs w:val="20"/>
                <w:color w:val="auto"/>
              </w:rPr>
            </w:pPr>
            <w:r>
              <w:rPr>
                <w:rFonts w:ascii="Arial" w:cs="Arial" w:eastAsia="Arial" w:hAnsi="Arial"/>
                <w:sz w:val="22"/>
                <w:szCs w:val="22"/>
                <w:color w:val="auto"/>
              </w:rPr>
              <w:t>94</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3.02.</w:t>
            </w:r>
          </w:p>
        </w:tc>
        <w:tc>
          <w:tcPr>
            <w:tcW w:w="5680" w:type="dxa"/>
            <w:vAlign w:val="bottom"/>
            <w:gridSpan w:val="10"/>
          </w:tcPr>
          <w:p>
            <w:pPr>
              <w:ind w:left="120"/>
              <w:spacing w:after="0"/>
              <w:rPr>
                <w:sz w:val="20"/>
                <w:szCs w:val="20"/>
                <w:color w:val="auto"/>
              </w:rPr>
            </w:pPr>
            <w:r>
              <w:rPr>
                <w:rFonts w:ascii="Arial" w:cs="Arial" w:eastAsia="Arial" w:hAnsi="Arial"/>
                <w:sz w:val="22"/>
                <w:szCs w:val="22"/>
                <w:color w:val="auto"/>
                <w:w w:val="93"/>
              </w:rPr>
              <w:t>Authorization; Due Execution and Delivery; Enforceability  94</w:t>
            </w: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3.03.</w:t>
            </w:r>
          </w:p>
        </w:tc>
        <w:tc>
          <w:tcPr>
            <w:tcW w:w="3580" w:type="dxa"/>
            <w:vAlign w:val="bottom"/>
            <w:gridSpan w:val="8"/>
          </w:tcPr>
          <w:p>
            <w:pPr>
              <w:ind w:left="120"/>
              <w:spacing w:after="0"/>
              <w:rPr>
                <w:sz w:val="20"/>
                <w:szCs w:val="20"/>
                <w:color w:val="auto"/>
              </w:rPr>
            </w:pPr>
            <w:r>
              <w:rPr>
                <w:rFonts w:ascii="Arial" w:cs="Arial" w:eastAsia="Arial" w:hAnsi="Arial"/>
                <w:sz w:val="22"/>
                <w:szCs w:val="22"/>
                <w:color w:val="auto"/>
                <w:w w:val="92"/>
              </w:rPr>
              <w:t>Governmental Approvals; No Conflicts</w:t>
            </w:r>
          </w:p>
        </w:tc>
        <w:tc>
          <w:tcPr>
            <w:tcW w:w="540" w:type="dxa"/>
            <w:vAlign w:val="bottom"/>
          </w:tcPr>
          <w:p>
            <w:pPr>
              <w:jc w:val="right"/>
              <w:ind w:right="52"/>
              <w:spacing w:after="0"/>
              <w:rPr>
                <w:sz w:val="20"/>
                <w:szCs w:val="20"/>
                <w:color w:val="auto"/>
              </w:rPr>
            </w:pPr>
            <w:r>
              <w:rPr>
                <w:rFonts w:ascii="Arial" w:cs="Arial" w:eastAsia="Arial" w:hAnsi="Arial"/>
                <w:sz w:val="22"/>
                <w:szCs w:val="22"/>
                <w:color w:val="auto"/>
              </w:rPr>
              <w:t>94</w:t>
            </w: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3.04.</w:t>
            </w:r>
          </w:p>
        </w:tc>
        <w:tc>
          <w:tcPr>
            <w:tcW w:w="5680" w:type="dxa"/>
            <w:vAlign w:val="bottom"/>
            <w:gridSpan w:val="10"/>
          </w:tcPr>
          <w:p>
            <w:pPr>
              <w:ind w:left="120"/>
              <w:spacing w:after="0"/>
              <w:rPr>
                <w:sz w:val="20"/>
                <w:szCs w:val="20"/>
                <w:color w:val="auto"/>
              </w:rPr>
            </w:pPr>
            <w:r>
              <w:rPr>
                <w:rFonts w:ascii="Arial" w:cs="Arial" w:eastAsia="Arial" w:hAnsi="Arial"/>
                <w:sz w:val="22"/>
                <w:szCs w:val="22"/>
                <w:color w:val="auto"/>
              </w:rPr>
              <w:t>Financial Condition; No Material Adverse Change  95</w:t>
            </w: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3.05.</w:t>
            </w:r>
          </w:p>
        </w:tc>
        <w:tc>
          <w:tcPr>
            <w:tcW w:w="1160" w:type="dxa"/>
            <w:vAlign w:val="bottom"/>
            <w:gridSpan w:val="2"/>
          </w:tcPr>
          <w:p>
            <w:pPr>
              <w:ind w:left="120"/>
              <w:spacing w:after="0"/>
              <w:rPr>
                <w:sz w:val="20"/>
                <w:szCs w:val="20"/>
                <w:color w:val="auto"/>
              </w:rPr>
            </w:pPr>
            <w:r>
              <w:rPr>
                <w:rFonts w:ascii="Arial" w:cs="Arial" w:eastAsia="Arial" w:hAnsi="Arial"/>
                <w:sz w:val="22"/>
                <w:szCs w:val="22"/>
                <w:color w:val="auto"/>
              </w:rPr>
              <w:t>Properties</w:t>
            </w:r>
          </w:p>
        </w:tc>
        <w:tc>
          <w:tcPr>
            <w:tcW w:w="380" w:type="dxa"/>
            <w:vAlign w:val="bottom"/>
          </w:tcPr>
          <w:p>
            <w:pPr>
              <w:jc w:val="right"/>
              <w:ind w:right="12"/>
              <w:spacing w:after="0"/>
              <w:rPr>
                <w:sz w:val="20"/>
                <w:szCs w:val="20"/>
                <w:color w:val="auto"/>
              </w:rPr>
            </w:pPr>
            <w:r>
              <w:rPr>
                <w:rFonts w:ascii="Arial" w:cs="Arial" w:eastAsia="Arial" w:hAnsi="Arial"/>
                <w:sz w:val="22"/>
                <w:szCs w:val="22"/>
                <w:color w:val="auto"/>
                <w:w w:val="97"/>
              </w:rPr>
              <w:t>95</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3.06.</w:t>
            </w:r>
          </w:p>
        </w:tc>
        <w:tc>
          <w:tcPr>
            <w:tcW w:w="3580" w:type="dxa"/>
            <w:vAlign w:val="bottom"/>
            <w:gridSpan w:val="8"/>
          </w:tcPr>
          <w:p>
            <w:pPr>
              <w:ind w:left="120"/>
              <w:spacing w:after="0"/>
              <w:rPr>
                <w:sz w:val="20"/>
                <w:szCs w:val="20"/>
                <w:color w:val="auto"/>
              </w:rPr>
            </w:pPr>
            <w:r>
              <w:rPr>
                <w:rFonts w:ascii="Arial" w:cs="Arial" w:eastAsia="Arial" w:hAnsi="Arial"/>
                <w:sz w:val="22"/>
                <w:szCs w:val="22"/>
                <w:color w:val="auto"/>
                <w:w w:val="96"/>
              </w:rPr>
              <w:t>Litigation and Environmental Matters</w:t>
            </w:r>
          </w:p>
        </w:tc>
        <w:tc>
          <w:tcPr>
            <w:tcW w:w="540" w:type="dxa"/>
            <w:vAlign w:val="bottom"/>
          </w:tcPr>
          <w:p>
            <w:pPr>
              <w:jc w:val="right"/>
              <w:ind w:right="192"/>
              <w:spacing w:after="0"/>
              <w:rPr>
                <w:sz w:val="20"/>
                <w:szCs w:val="20"/>
                <w:color w:val="auto"/>
              </w:rPr>
            </w:pPr>
            <w:r>
              <w:rPr>
                <w:rFonts w:ascii="Arial" w:cs="Arial" w:eastAsia="Arial" w:hAnsi="Arial"/>
                <w:sz w:val="22"/>
                <w:szCs w:val="22"/>
                <w:color w:val="auto"/>
                <w:w w:val="89"/>
              </w:rPr>
              <w:t>96</w:t>
            </w: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3.07.</w:t>
            </w:r>
          </w:p>
        </w:tc>
        <w:tc>
          <w:tcPr>
            <w:tcW w:w="2200" w:type="dxa"/>
            <w:vAlign w:val="bottom"/>
            <w:gridSpan w:val="5"/>
          </w:tcPr>
          <w:p>
            <w:pPr>
              <w:ind w:left="120"/>
              <w:spacing w:after="0"/>
              <w:rPr>
                <w:sz w:val="20"/>
                <w:szCs w:val="20"/>
                <w:color w:val="auto"/>
              </w:rPr>
            </w:pPr>
            <w:r>
              <w:rPr>
                <w:rFonts w:ascii="Arial" w:cs="Arial" w:eastAsia="Arial" w:hAnsi="Arial"/>
                <w:sz w:val="22"/>
                <w:szCs w:val="22"/>
                <w:color w:val="auto"/>
                <w:w w:val="94"/>
              </w:rPr>
              <w:t>Compliance with Laws</w:t>
            </w:r>
          </w:p>
        </w:tc>
        <w:tc>
          <w:tcPr>
            <w:tcW w:w="400" w:type="dxa"/>
            <w:vAlign w:val="bottom"/>
          </w:tcPr>
          <w:p>
            <w:pPr>
              <w:jc w:val="right"/>
              <w:spacing w:after="0"/>
              <w:rPr>
                <w:sz w:val="20"/>
                <w:szCs w:val="20"/>
                <w:color w:val="auto"/>
              </w:rPr>
            </w:pPr>
            <w:r>
              <w:rPr>
                <w:rFonts w:ascii="Arial" w:cs="Arial" w:eastAsia="Arial" w:hAnsi="Arial"/>
                <w:sz w:val="22"/>
                <w:szCs w:val="22"/>
                <w:color w:val="auto"/>
              </w:rPr>
              <w:t>96</w:t>
            </w: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3.08.</w:t>
            </w:r>
          </w:p>
        </w:tc>
        <w:tc>
          <w:tcPr>
            <w:tcW w:w="4120" w:type="dxa"/>
            <w:vAlign w:val="bottom"/>
            <w:gridSpan w:val="9"/>
          </w:tcPr>
          <w:p>
            <w:pPr>
              <w:ind w:left="120"/>
              <w:spacing w:after="0"/>
              <w:rPr>
                <w:sz w:val="20"/>
                <w:szCs w:val="20"/>
                <w:color w:val="auto"/>
              </w:rPr>
            </w:pPr>
            <w:r>
              <w:rPr>
                <w:rFonts w:ascii="Arial" w:cs="Arial" w:eastAsia="Arial" w:hAnsi="Arial"/>
                <w:sz w:val="22"/>
                <w:szCs w:val="22"/>
                <w:color w:val="auto"/>
                <w:w w:val="96"/>
              </w:rPr>
              <w:t>Anti-Terrorism Laws; Anti-Corruption Laws</w:t>
            </w:r>
          </w:p>
        </w:tc>
        <w:tc>
          <w:tcPr>
            <w:tcW w:w="1560" w:type="dxa"/>
            <w:vAlign w:val="bottom"/>
          </w:tcPr>
          <w:p>
            <w:pPr>
              <w:jc w:val="right"/>
              <w:ind w:right="1152"/>
              <w:spacing w:after="0"/>
              <w:rPr>
                <w:sz w:val="20"/>
                <w:szCs w:val="20"/>
                <w:color w:val="auto"/>
              </w:rPr>
            </w:pPr>
            <w:r>
              <w:rPr>
                <w:rFonts w:ascii="Arial" w:cs="Arial" w:eastAsia="Arial" w:hAnsi="Arial"/>
                <w:sz w:val="22"/>
                <w:szCs w:val="22"/>
                <w:color w:val="auto"/>
              </w:rPr>
              <w:t>96</w:t>
            </w: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3.09.</w:t>
            </w:r>
          </w:p>
        </w:tc>
        <w:tc>
          <w:tcPr>
            <w:tcW w:w="2600" w:type="dxa"/>
            <w:vAlign w:val="bottom"/>
            <w:gridSpan w:val="6"/>
          </w:tcPr>
          <w:p>
            <w:pPr>
              <w:ind w:left="120"/>
              <w:spacing w:after="0"/>
              <w:rPr>
                <w:sz w:val="20"/>
                <w:szCs w:val="20"/>
                <w:color w:val="auto"/>
              </w:rPr>
            </w:pPr>
            <w:r>
              <w:rPr>
                <w:rFonts w:ascii="Arial" w:cs="Arial" w:eastAsia="Arial" w:hAnsi="Arial"/>
                <w:sz w:val="22"/>
                <w:szCs w:val="22"/>
                <w:color w:val="auto"/>
                <w:w w:val="89"/>
              </w:rPr>
              <w:t>Investment Company Status</w:t>
            </w:r>
          </w:p>
        </w:tc>
        <w:tc>
          <w:tcPr>
            <w:tcW w:w="420" w:type="dxa"/>
            <w:vAlign w:val="bottom"/>
          </w:tcPr>
          <w:p>
            <w:pPr>
              <w:jc w:val="right"/>
              <w:spacing w:after="0"/>
              <w:rPr>
                <w:sz w:val="20"/>
                <w:szCs w:val="20"/>
                <w:color w:val="auto"/>
              </w:rPr>
            </w:pPr>
            <w:r>
              <w:rPr>
                <w:rFonts w:ascii="Arial" w:cs="Arial" w:eastAsia="Arial" w:hAnsi="Arial"/>
                <w:sz w:val="22"/>
                <w:szCs w:val="22"/>
                <w:color w:val="auto"/>
              </w:rPr>
              <w:t>97</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3.10.</w:t>
            </w:r>
          </w:p>
        </w:tc>
        <w:tc>
          <w:tcPr>
            <w:tcW w:w="2600" w:type="dxa"/>
            <w:vAlign w:val="bottom"/>
            <w:gridSpan w:val="6"/>
          </w:tcPr>
          <w:p>
            <w:pPr>
              <w:ind w:left="120"/>
              <w:spacing w:after="0"/>
              <w:rPr>
                <w:sz w:val="20"/>
                <w:szCs w:val="20"/>
                <w:color w:val="auto"/>
              </w:rPr>
            </w:pPr>
            <w:r>
              <w:rPr>
                <w:rFonts w:ascii="Arial" w:cs="Arial" w:eastAsia="Arial" w:hAnsi="Arial"/>
                <w:sz w:val="22"/>
                <w:szCs w:val="22"/>
                <w:color w:val="auto"/>
                <w:w w:val="86"/>
              </w:rPr>
              <w:t>Federal Reserve Regulations</w:t>
            </w:r>
          </w:p>
        </w:tc>
        <w:tc>
          <w:tcPr>
            <w:tcW w:w="980" w:type="dxa"/>
            <w:vAlign w:val="bottom"/>
            <w:gridSpan w:val="2"/>
          </w:tcPr>
          <w:p>
            <w:pPr>
              <w:jc w:val="right"/>
              <w:ind w:right="452"/>
              <w:spacing w:after="0"/>
              <w:rPr>
                <w:sz w:val="20"/>
                <w:szCs w:val="20"/>
                <w:color w:val="auto"/>
              </w:rPr>
            </w:pPr>
            <w:r>
              <w:rPr>
                <w:rFonts w:ascii="Arial" w:cs="Arial" w:eastAsia="Arial" w:hAnsi="Arial"/>
                <w:sz w:val="22"/>
                <w:szCs w:val="22"/>
                <w:color w:val="auto"/>
              </w:rPr>
              <w:t>97</w:t>
            </w: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3.11.</w:t>
            </w:r>
          </w:p>
        </w:tc>
        <w:tc>
          <w:tcPr>
            <w:tcW w:w="780" w:type="dxa"/>
            <w:vAlign w:val="bottom"/>
          </w:tcPr>
          <w:p>
            <w:pPr>
              <w:ind w:left="100"/>
              <w:spacing w:after="0"/>
              <w:rPr>
                <w:sz w:val="20"/>
                <w:szCs w:val="20"/>
                <w:color w:val="auto"/>
              </w:rPr>
            </w:pPr>
            <w:r>
              <w:rPr>
                <w:rFonts w:ascii="Arial" w:cs="Arial" w:eastAsia="Arial" w:hAnsi="Arial"/>
                <w:sz w:val="22"/>
                <w:szCs w:val="22"/>
                <w:color w:val="auto"/>
              </w:rPr>
              <w:t>Taxes</w:t>
            </w:r>
          </w:p>
        </w:tc>
        <w:tc>
          <w:tcPr>
            <w:tcW w:w="380" w:type="dxa"/>
            <w:vAlign w:val="bottom"/>
          </w:tcPr>
          <w:p>
            <w:pPr>
              <w:jc w:val="right"/>
              <w:ind w:right="12"/>
              <w:spacing w:after="0"/>
              <w:rPr>
                <w:sz w:val="20"/>
                <w:szCs w:val="20"/>
                <w:color w:val="auto"/>
              </w:rPr>
            </w:pPr>
            <w:r>
              <w:rPr>
                <w:rFonts w:ascii="Arial" w:cs="Arial" w:eastAsia="Arial" w:hAnsi="Arial"/>
                <w:sz w:val="22"/>
                <w:szCs w:val="22"/>
                <w:color w:val="auto"/>
                <w:w w:val="97"/>
              </w:rPr>
              <w:t>97</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3.12.</w:t>
            </w:r>
          </w:p>
        </w:tc>
        <w:tc>
          <w:tcPr>
            <w:tcW w:w="780" w:type="dxa"/>
            <w:vAlign w:val="bottom"/>
          </w:tcPr>
          <w:p>
            <w:pPr>
              <w:ind w:left="120"/>
              <w:spacing w:after="0"/>
              <w:rPr>
                <w:sz w:val="20"/>
                <w:szCs w:val="20"/>
                <w:color w:val="auto"/>
              </w:rPr>
            </w:pPr>
            <w:r>
              <w:rPr>
                <w:rFonts w:ascii="Arial" w:cs="Arial" w:eastAsia="Arial" w:hAnsi="Arial"/>
                <w:sz w:val="22"/>
                <w:szCs w:val="22"/>
                <w:color w:val="auto"/>
                <w:w w:val="96"/>
              </w:rPr>
              <w:t>ERISA</w:t>
            </w:r>
          </w:p>
        </w:tc>
        <w:tc>
          <w:tcPr>
            <w:tcW w:w="380" w:type="dxa"/>
            <w:vAlign w:val="bottom"/>
          </w:tcPr>
          <w:p>
            <w:pPr>
              <w:jc w:val="right"/>
              <w:spacing w:after="0"/>
              <w:rPr>
                <w:sz w:val="20"/>
                <w:szCs w:val="20"/>
                <w:color w:val="auto"/>
              </w:rPr>
            </w:pPr>
            <w:r>
              <w:rPr>
                <w:rFonts w:ascii="Arial" w:cs="Arial" w:eastAsia="Arial" w:hAnsi="Arial"/>
                <w:sz w:val="22"/>
                <w:szCs w:val="22"/>
                <w:color w:val="auto"/>
              </w:rPr>
              <w:t>97</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3.13.</w:t>
            </w:r>
          </w:p>
        </w:tc>
        <w:tc>
          <w:tcPr>
            <w:tcW w:w="1160" w:type="dxa"/>
            <w:vAlign w:val="bottom"/>
            <w:gridSpan w:val="2"/>
          </w:tcPr>
          <w:p>
            <w:pPr>
              <w:ind w:left="120"/>
              <w:spacing w:after="0"/>
              <w:rPr>
                <w:sz w:val="20"/>
                <w:szCs w:val="20"/>
                <w:color w:val="auto"/>
              </w:rPr>
            </w:pPr>
            <w:r>
              <w:rPr>
                <w:rFonts w:ascii="Arial" w:cs="Arial" w:eastAsia="Arial" w:hAnsi="Arial"/>
                <w:sz w:val="22"/>
                <w:szCs w:val="22"/>
                <w:color w:val="auto"/>
                <w:w w:val="93"/>
              </w:rPr>
              <w:t>Disclosure.</w:t>
            </w:r>
          </w:p>
        </w:tc>
        <w:tc>
          <w:tcPr>
            <w:tcW w:w="380" w:type="dxa"/>
            <w:vAlign w:val="bottom"/>
          </w:tcPr>
          <w:p>
            <w:pPr>
              <w:jc w:val="right"/>
              <w:spacing w:after="0"/>
              <w:rPr>
                <w:sz w:val="20"/>
                <w:szCs w:val="20"/>
                <w:color w:val="auto"/>
              </w:rPr>
            </w:pPr>
            <w:r>
              <w:rPr>
                <w:rFonts w:ascii="Arial" w:cs="Arial" w:eastAsia="Arial" w:hAnsi="Arial"/>
                <w:sz w:val="22"/>
                <w:szCs w:val="22"/>
                <w:color w:val="auto"/>
              </w:rPr>
              <w:t>98</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3.14.</w:t>
            </w:r>
          </w:p>
        </w:tc>
        <w:tc>
          <w:tcPr>
            <w:tcW w:w="1160" w:type="dxa"/>
            <w:vAlign w:val="bottom"/>
            <w:gridSpan w:val="2"/>
          </w:tcPr>
          <w:p>
            <w:pPr>
              <w:ind w:left="120"/>
              <w:spacing w:after="0"/>
              <w:rPr>
                <w:sz w:val="20"/>
                <w:szCs w:val="20"/>
                <w:color w:val="auto"/>
              </w:rPr>
            </w:pPr>
            <w:r>
              <w:rPr>
                <w:rFonts w:ascii="Arial" w:cs="Arial" w:eastAsia="Arial" w:hAnsi="Arial"/>
                <w:sz w:val="22"/>
                <w:szCs w:val="22"/>
                <w:color w:val="auto"/>
                <w:w w:val="85"/>
              </w:rPr>
              <w:t>Subsidiaries</w:t>
            </w:r>
          </w:p>
        </w:tc>
        <w:tc>
          <w:tcPr>
            <w:tcW w:w="700" w:type="dxa"/>
            <w:vAlign w:val="bottom"/>
            <w:gridSpan w:val="2"/>
          </w:tcPr>
          <w:p>
            <w:pPr>
              <w:jc w:val="right"/>
              <w:ind w:right="152"/>
              <w:spacing w:after="0"/>
              <w:rPr>
                <w:sz w:val="20"/>
                <w:szCs w:val="20"/>
                <w:color w:val="auto"/>
              </w:rPr>
            </w:pPr>
            <w:r>
              <w:rPr>
                <w:rFonts w:ascii="Arial" w:cs="Arial" w:eastAsia="Arial" w:hAnsi="Arial"/>
                <w:sz w:val="22"/>
                <w:szCs w:val="22"/>
                <w:color w:val="auto"/>
              </w:rPr>
              <w:t>98</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3.15.</w:t>
            </w:r>
          </w:p>
        </w:tc>
        <w:tc>
          <w:tcPr>
            <w:tcW w:w="1540" w:type="dxa"/>
            <w:vAlign w:val="bottom"/>
            <w:gridSpan w:val="3"/>
          </w:tcPr>
          <w:p>
            <w:pPr>
              <w:ind w:left="120"/>
              <w:spacing w:after="0"/>
              <w:rPr>
                <w:sz w:val="20"/>
                <w:szCs w:val="20"/>
                <w:color w:val="auto"/>
              </w:rPr>
            </w:pPr>
            <w:r>
              <w:rPr>
                <w:rFonts w:ascii="Arial" w:cs="Arial" w:eastAsia="Arial" w:hAnsi="Arial"/>
                <w:sz w:val="22"/>
                <w:szCs w:val="22"/>
                <w:color w:val="auto"/>
                <w:w w:val="86"/>
              </w:rPr>
              <w:t>Use of Proceeds</w:t>
            </w:r>
          </w:p>
        </w:tc>
        <w:tc>
          <w:tcPr>
            <w:tcW w:w="660" w:type="dxa"/>
            <w:vAlign w:val="bottom"/>
            <w:gridSpan w:val="2"/>
          </w:tcPr>
          <w:p>
            <w:pPr>
              <w:jc w:val="right"/>
              <w:ind w:right="152"/>
              <w:spacing w:after="0"/>
              <w:rPr>
                <w:sz w:val="20"/>
                <w:szCs w:val="20"/>
                <w:color w:val="auto"/>
              </w:rPr>
            </w:pPr>
            <w:r>
              <w:rPr>
                <w:rFonts w:ascii="Arial" w:cs="Arial" w:eastAsia="Arial" w:hAnsi="Arial"/>
                <w:sz w:val="22"/>
                <w:szCs w:val="22"/>
                <w:color w:val="auto"/>
              </w:rPr>
              <w:t>99</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3.16.</w:t>
            </w:r>
          </w:p>
        </w:tc>
        <w:tc>
          <w:tcPr>
            <w:tcW w:w="1540" w:type="dxa"/>
            <w:vAlign w:val="bottom"/>
            <w:gridSpan w:val="3"/>
          </w:tcPr>
          <w:p>
            <w:pPr>
              <w:ind w:left="120"/>
              <w:spacing w:after="0"/>
              <w:rPr>
                <w:sz w:val="20"/>
                <w:szCs w:val="20"/>
                <w:color w:val="auto"/>
              </w:rPr>
            </w:pPr>
            <w:r>
              <w:rPr>
                <w:rFonts w:ascii="Arial" w:cs="Arial" w:eastAsia="Arial" w:hAnsi="Arial"/>
                <w:sz w:val="22"/>
                <w:szCs w:val="22"/>
                <w:color w:val="auto"/>
              </w:rPr>
              <w:t>Labor Matters</w:t>
            </w:r>
          </w:p>
        </w:tc>
        <w:tc>
          <w:tcPr>
            <w:tcW w:w="320" w:type="dxa"/>
            <w:vAlign w:val="bottom"/>
          </w:tcPr>
          <w:p>
            <w:pPr>
              <w:ind w:left="20"/>
              <w:spacing w:after="0"/>
              <w:rPr>
                <w:sz w:val="20"/>
                <w:szCs w:val="20"/>
                <w:color w:val="auto"/>
              </w:rPr>
            </w:pPr>
            <w:r>
              <w:rPr>
                <w:rFonts w:ascii="Arial" w:cs="Arial" w:eastAsia="Arial" w:hAnsi="Arial"/>
                <w:sz w:val="22"/>
                <w:szCs w:val="22"/>
                <w:color w:val="auto"/>
              </w:rPr>
              <w:t>99</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3.17.</w:t>
            </w:r>
          </w:p>
        </w:tc>
        <w:tc>
          <w:tcPr>
            <w:tcW w:w="1540" w:type="dxa"/>
            <w:vAlign w:val="bottom"/>
            <w:gridSpan w:val="3"/>
          </w:tcPr>
          <w:p>
            <w:pPr>
              <w:ind w:left="120"/>
              <w:spacing w:after="0"/>
              <w:rPr>
                <w:sz w:val="20"/>
                <w:szCs w:val="20"/>
                <w:color w:val="auto"/>
              </w:rPr>
            </w:pPr>
            <w:r>
              <w:rPr>
                <w:rFonts w:ascii="Arial" w:cs="Arial" w:eastAsia="Arial" w:hAnsi="Arial"/>
                <w:sz w:val="22"/>
                <w:szCs w:val="22"/>
                <w:color w:val="auto"/>
              </w:rPr>
              <w:t>Solvency  99</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3.18.</w:t>
            </w:r>
          </w:p>
        </w:tc>
        <w:tc>
          <w:tcPr>
            <w:tcW w:w="1860" w:type="dxa"/>
            <w:vAlign w:val="bottom"/>
            <w:gridSpan w:val="4"/>
          </w:tcPr>
          <w:p>
            <w:pPr>
              <w:ind w:left="120"/>
              <w:spacing w:after="0"/>
              <w:rPr>
                <w:sz w:val="20"/>
                <w:szCs w:val="20"/>
                <w:color w:val="auto"/>
              </w:rPr>
            </w:pPr>
            <w:r>
              <w:rPr>
                <w:rFonts w:ascii="Arial" w:cs="Arial" w:eastAsia="Arial" w:hAnsi="Arial"/>
                <w:sz w:val="22"/>
                <w:szCs w:val="22"/>
                <w:color w:val="auto"/>
                <w:w w:val="99"/>
              </w:rPr>
              <w:t>Collateral Matters</w:t>
            </w:r>
          </w:p>
        </w:tc>
        <w:tc>
          <w:tcPr>
            <w:tcW w:w="340" w:type="dxa"/>
            <w:vAlign w:val="bottom"/>
          </w:tcPr>
          <w:p>
            <w:pPr>
              <w:ind w:left="40"/>
              <w:spacing w:after="0"/>
              <w:rPr>
                <w:sz w:val="20"/>
                <w:szCs w:val="20"/>
                <w:color w:val="auto"/>
              </w:rPr>
            </w:pPr>
            <w:r>
              <w:rPr>
                <w:rFonts w:ascii="Arial" w:cs="Arial" w:eastAsia="Arial" w:hAnsi="Arial"/>
                <w:sz w:val="22"/>
                <w:szCs w:val="22"/>
                <w:color w:val="auto"/>
              </w:rPr>
              <w:t>99</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3.19.</w:t>
            </w:r>
          </w:p>
        </w:tc>
        <w:tc>
          <w:tcPr>
            <w:tcW w:w="2600" w:type="dxa"/>
            <w:vAlign w:val="bottom"/>
            <w:gridSpan w:val="6"/>
          </w:tcPr>
          <w:p>
            <w:pPr>
              <w:ind w:left="120"/>
              <w:spacing w:after="0"/>
              <w:rPr>
                <w:sz w:val="20"/>
                <w:szCs w:val="20"/>
                <w:color w:val="auto"/>
              </w:rPr>
            </w:pPr>
            <w:r>
              <w:rPr>
                <w:rFonts w:ascii="Arial" w:cs="Arial" w:eastAsia="Arial" w:hAnsi="Arial"/>
                <w:sz w:val="22"/>
                <w:szCs w:val="22"/>
                <w:color w:val="auto"/>
                <w:w w:val="98"/>
              </w:rPr>
              <w:t>EEA Financial Institutions</w:t>
            </w:r>
          </w:p>
        </w:tc>
        <w:tc>
          <w:tcPr>
            <w:tcW w:w="420" w:type="dxa"/>
            <w:vAlign w:val="bottom"/>
          </w:tcPr>
          <w:p>
            <w:pPr>
              <w:jc w:val="right"/>
              <w:spacing w:after="0"/>
              <w:rPr>
                <w:sz w:val="20"/>
                <w:szCs w:val="20"/>
                <w:color w:val="auto"/>
              </w:rPr>
            </w:pPr>
            <w:r>
              <w:rPr>
                <w:rFonts w:ascii="Arial" w:cs="Arial" w:eastAsia="Arial" w:hAnsi="Arial"/>
                <w:sz w:val="22"/>
                <w:szCs w:val="22"/>
                <w:color w:val="auto"/>
                <w:w w:val="92"/>
              </w:rPr>
              <w:t>100</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3.20.</w:t>
            </w:r>
          </w:p>
        </w:tc>
        <w:tc>
          <w:tcPr>
            <w:tcW w:w="3020" w:type="dxa"/>
            <w:vAlign w:val="bottom"/>
            <w:gridSpan w:val="7"/>
          </w:tcPr>
          <w:p>
            <w:pPr>
              <w:ind w:left="120"/>
              <w:spacing w:after="0"/>
              <w:rPr>
                <w:sz w:val="20"/>
                <w:szCs w:val="20"/>
                <w:color w:val="auto"/>
              </w:rPr>
            </w:pPr>
            <w:r>
              <w:rPr>
                <w:rFonts w:ascii="Arial" w:cs="Arial" w:eastAsia="Arial" w:hAnsi="Arial"/>
                <w:sz w:val="22"/>
                <w:szCs w:val="22"/>
                <w:color w:val="auto"/>
                <w:w w:val="98"/>
              </w:rPr>
              <w:t>No Default or Event of Default</w:t>
            </w:r>
          </w:p>
        </w:tc>
        <w:tc>
          <w:tcPr>
            <w:tcW w:w="560" w:type="dxa"/>
            <w:vAlign w:val="bottom"/>
          </w:tcPr>
          <w:p>
            <w:pPr>
              <w:jc w:val="right"/>
              <w:ind w:right="132"/>
              <w:spacing w:after="0"/>
              <w:rPr>
                <w:sz w:val="20"/>
                <w:szCs w:val="20"/>
                <w:color w:val="auto"/>
              </w:rPr>
            </w:pPr>
            <w:r>
              <w:rPr>
                <w:rFonts w:ascii="Arial" w:cs="Arial" w:eastAsia="Arial" w:hAnsi="Arial"/>
                <w:sz w:val="22"/>
                <w:szCs w:val="22"/>
                <w:color w:val="auto"/>
                <w:w w:val="81"/>
              </w:rPr>
              <w:t>100</w:t>
            </w: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3.21.</w:t>
            </w:r>
          </w:p>
        </w:tc>
        <w:tc>
          <w:tcPr>
            <w:tcW w:w="1160" w:type="dxa"/>
            <w:vAlign w:val="bottom"/>
            <w:gridSpan w:val="2"/>
          </w:tcPr>
          <w:p>
            <w:pPr>
              <w:ind w:left="120"/>
              <w:spacing w:after="0"/>
              <w:rPr>
                <w:sz w:val="20"/>
                <w:szCs w:val="20"/>
                <w:color w:val="auto"/>
              </w:rPr>
            </w:pPr>
            <w:r>
              <w:rPr>
                <w:rFonts w:ascii="Arial" w:cs="Arial" w:eastAsia="Arial" w:hAnsi="Arial"/>
                <w:sz w:val="22"/>
                <w:szCs w:val="22"/>
                <w:color w:val="auto"/>
              </w:rPr>
              <w:t>Insurance</w:t>
            </w:r>
          </w:p>
        </w:tc>
        <w:tc>
          <w:tcPr>
            <w:tcW w:w="380" w:type="dxa"/>
            <w:vAlign w:val="bottom"/>
          </w:tcPr>
          <w:p>
            <w:pPr>
              <w:jc w:val="right"/>
              <w:spacing w:after="0"/>
              <w:rPr>
                <w:sz w:val="20"/>
                <w:szCs w:val="20"/>
                <w:color w:val="auto"/>
              </w:rPr>
            </w:pPr>
            <w:r>
              <w:rPr>
                <w:rFonts w:ascii="Arial" w:cs="Arial" w:eastAsia="Arial" w:hAnsi="Arial"/>
                <w:sz w:val="22"/>
                <w:szCs w:val="22"/>
                <w:color w:val="auto"/>
                <w:w w:val="87"/>
              </w:rPr>
              <w:t>100</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3.22.</w:t>
            </w:r>
          </w:p>
        </w:tc>
        <w:tc>
          <w:tcPr>
            <w:tcW w:w="1860" w:type="dxa"/>
            <w:vAlign w:val="bottom"/>
            <w:gridSpan w:val="4"/>
          </w:tcPr>
          <w:p>
            <w:pPr>
              <w:ind w:left="120"/>
              <w:spacing w:after="0"/>
              <w:rPr>
                <w:sz w:val="20"/>
                <w:szCs w:val="20"/>
                <w:color w:val="auto"/>
              </w:rPr>
            </w:pPr>
            <w:r>
              <w:rPr>
                <w:rFonts w:ascii="Arial" w:cs="Arial" w:eastAsia="Arial" w:hAnsi="Arial"/>
                <w:sz w:val="22"/>
                <w:szCs w:val="22"/>
                <w:color w:val="auto"/>
                <w:w w:val="85"/>
              </w:rPr>
              <w:t>Senior Indebtedness</w:t>
            </w:r>
          </w:p>
        </w:tc>
        <w:tc>
          <w:tcPr>
            <w:tcW w:w="740" w:type="dxa"/>
            <w:vAlign w:val="bottom"/>
            <w:gridSpan w:val="2"/>
          </w:tcPr>
          <w:p>
            <w:pPr>
              <w:jc w:val="right"/>
              <w:ind w:right="92"/>
              <w:spacing w:after="0"/>
              <w:rPr>
                <w:sz w:val="20"/>
                <w:szCs w:val="20"/>
                <w:color w:val="auto"/>
              </w:rPr>
            </w:pPr>
            <w:r>
              <w:rPr>
                <w:rFonts w:ascii="Arial" w:cs="Arial" w:eastAsia="Arial" w:hAnsi="Arial"/>
                <w:sz w:val="22"/>
                <w:szCs w:val="22"/>
                <w:color w:val="auto"/>
              </w:rPr>
              <w:t>100</w:t>
            </w: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w w:val="96"/>
              </w:rPr>
              <w:t>SECTION 3.23.</w:t>
            </w:r>
          </w:p>
        </w:tc>
        <w:tc>
          <w:tcPr>
            <w:tcW w:w="2200" w:type="dxa"/>
            <w:vAlign w:val="bottom"/>
            <w:gridSpan w:val="5"/>
          </w:tcPr>
          <w:p>
            <w:pPr>
              <w:ind w:left="120"/>
              <w:spacing w:after="0"/>
              <w:rPr>
                <w:sz w:val="20"/>
                <w:szCs w:val="20"/>
                <w:color w:val="auto"/>
              </w:rPr>
            </w:pPr>
            <w:r>
              <w:rPr>
                <w:rFonts w:ascii="Arial" w:cs="Arial" w:eastAsia="Arial" w:hAnsi="Arial"/>
                <w:sz w:val="22"/>
                <w:szCs w:val="22"/>
                <w:color w:val="auto"/>
              </w:rPr>
              <w:t>Dutch Works Council</w:t>
            </w:r>
          </w:p>
        </w:tc>
        <w:tc>
          <w:tcPr>
            <w:tcW w:w="400" w:type="dxa"/>
            <w:vAlign w:val="bottom"/>
          </w:tcPr>
          <w:p>
            <w:pPr>
              <w:spacing w:after="0"/>
              <w:rPr>
                <w:sz w:val="20"/>
                <w:szCs w:val="20"/>
                <w:color w:val="auto"/>
              </w:rPr>
            </w:pPr>
            <w:r>
              <w:rPr>
                <w:rFonts w:ascii="Arial" w:cs="Arial" w:eastAsia="Arial" w:hAnsi="Arial"/>
                <w:sz w:val="22"/>
                <w:szCs w:val="22"/>
                <w:color w:val="auto"/>
              </w:rPr>
              <w:t>101</w:t>
            </w: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473"/>
        </w:trPr>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3"/>
          </w:tcPr>
          <w:p>
            <w:pPr>
              <w:jc w:val="center"/>
              <w:ind w:left="112"/>
              <w:spacing w:after="0"/>
              <w:rPr>
                <w:sz w:val="20"/>
                <w:szCs w:val="20"/>
                <w:color w:val="auto"/>
              </w:rPr>
            </w:pPr>
            <w:r>
              <w:rPr>
                <w:rFonts w:ascii="Arial" w:cs="Arial" w:eastAsia="Arial" w:hAnsi="Arial"/>
                <w:sz w:val="22"/>
                <w:szCs w:val="22"/>
                <w:color w:val="auto"/>
                <w:w w:val="98"/>
              </w:rPr>
              <w:t>ARTICLE IV</w:t>
            </w:r>
          </w:p>
        </w:tc>
        <w:tc>
          <w:tcPr>
            <w:tcW w:w="1560" w:type="dxa"/>
            <w:vAlign w:val="bottom"/>
          </w:tcPr>
          <w:p>
            <w:pPr>
              <w:spacing w:after="0"/>
              <w:rPr>
                <w:sz w:val="24"/>
                <w:szCs w:val="24"/>
                <w:color w:val="auto"/>
              </w:rPr>
            </w:pPr>
          </w:p>
        </w:tc>
      </w:tr>
      <w:tr>
        <w:trPr>
          <w:trHeight w:val="513"/>
        </w:trPr>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3"/>
          </w:tcPr>
          <w:p>
            <w:pPr>
              <w:jc w:val="center"/>
              <w:ind w:left="92"/>
              <w:spacing w:after="0"/>
              <w:rPr>
                <w:sz w:val="20"/>
                <w:szCs w:val="20"/>
                <w:color w:val="auto"/>
              </w:rPr>
            </w:pPr>
            <w:r>
              <w:rPr>
                <w:rFonts w:ascii="Arial" w:cs="Arial" w:eastAsia="Arial" w:hAnsi="Arial"/>
                <w:sz w:val="22"/>
                <w:szCs w:val="22"/>
                <w:color w:val="auto"/>
                <w:w w:val="95"/>
              </w:rPr>
              <w:t>CONDITIONS</w:t>
            </w:r>
          </w:p>
        </w:tc>
        <w:tc>
          <w:tcPr>
            <w:tcW w:w="1560" w:type="dxa"/>
            <w:vAlign w:val="bottom"/>
          </w:tcPr>
          <w:p>
            <w:pPr>
              <w:spacing w:after="0"/>
              <w:rPr>
                <w:sz w:val="24"/>
                <w:szCs w:val="24"/>
                <w:color w:val="auto"/>
              </w:rPr>
            </w:pPr>
          </w:p>
        </w:tc>
      </w:tr>
      <w:tr>
        <w:trPr>
          <w:trHeight w:val="455"/>
        </w:trPr>
        <w:tc>
          <w:tcPr>
            <w:tcW w:w="1500" w:type="dxa"/>
            <w:vAlign w:val="bottom"/>
          </w:tcPr>
          <w:p>
            <w:pPr>
              <w:spacing w:after="0"/>
              <w:rPr>
                <w:sz w:val="20"/>
                <w:szCs w:val="20"/>
                <w:color w:val="auto"/>
              </w:rPr>
            </w:pPr>
            <w:r>
              <w:rPr>
                <w:rFonts w:ascii="Arial" w:cs="Arial" w:eastAsia="Arial" w:hAnsi="Arial"/>
                <w:sz w:val="22"/>
                <w:szCs w:val="22"/>
                <w:color w:val="auto"/>
                <w:w w:val="96"/>
              </w:rPr>
              <w:t>SECTION 4.01.</w:t>
            </w:r>
          </w:p>
        </w:tc>
        <w:tc>
          <w:tcPr>
            <w:tcW w:w="1540" w:type="dxa"/>
            <w:vAlign w:val="bottom"/>
            <w:gridSpan w:val="3"/>
          </w:tcPr>
          <w:p>
            <w:pPr>
              <w:ind w:left="120"/>
              <w:spacing w:after="0"/>
              <w:rPr>
                <w:sz w:val="20"/>
                <w:szCs w:val="20"/>
                <w:color w:val="auto"/>
              </w:rPr>
            </w:pPr>
            <w:r>
              <w:rPr>
                <w:rFonts w:ascii="Arial" w:cs="Arial" w:eastAsia="Arial" w:hAnsi="Arial"/>
                <w:sz w:val="22"/>
                <w:szCs w:val="22"/>
                <w:color w:val="auto"/>
              </w:rPr>
              <w:t>Effective Date</w:t>
            </w:r>
          </w:p>
        </w:tc>
        <w:tc>
          <w:tcPr>
            <w:tcW w:w="660" w:type="dxa"/>
            <w:vAlign w:val="bottom"/>
            <w:gridSpan w:val="2"/>
          </w:tcPr>
          <w:p>
            <w:pPr>
              <w:ind w:left="40"/>
              <w:spacing w:after="0"/>
              <w:rPr>
                <w:sz w:val="20"/>
                <w:szCs w:val="20"/>
                <w:color w:val="auto"/>
              </w:rPr>
            </w:pPr>
            <w:r>
              <w:rPr>
                <w:rFonts w:ascii="Arial" w:cs="Arial" w:eastAsia="Arial" w:hAnsi="Arial"/>
                <w:sz w:val="22"/>
                <w:szCs w:val="22"/>
                <w:color w:val="auto"/>
              </w:rPr>
              <w:t>101</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w w:val="96"/>
              </w:rPr>
              <w:t>SECTION 4.02.</w:t>
            </w:r>
          </w:p>
        </w:tc>
        <w:tc>
          <w:tcPr>
            <w:tcW w:w="3580" w:type="dxa"/>
            <w:vAlign w:val="bottom"/>
            <w:gridSpan w:val="8"/>
          </w:tcPr>
          <w:p>
            <w:pPr>
              <w:ind w:left="120"/>
              <w:spacing w:after="0"/>
              <w:rPr>
                <w:sz w:val="20"/>
                <w:szCs w:val="20"/>
                <w:color w:val="auto"/>
              </w:rPr>
            </w:pPr>
            <w:r>
              <w:rPr>
                <w:rFonts w:ascii="Arial" w:cs="Arial" w:eastAsia="Arial" w:hAnsi="Arial"/>
                <w:sz w:val="22"/>
                <w:szCs w:val="22"/>
                <w:color w:val="auto"/>
                <w:w w:val="92"/>
              </w:rPr>
              <w:t>Each Post-Effective Date Credit Event</w:t>
            </w:r>
          </w:p>
        </w:tc>
        <w:tc>
          <w:tcPr>
            <w:tcW w:w="540" w:type="dxa"/>
            <w:vAlign w:val="bottom"/>
          </w:tcPr>
          <w:p>
            <w:pPr>
              <w:jc w:val="right"/>
              <w:ind w:right="32"/>
              <w:spacing w:after="0"/>
              <w:rPr>
                <w:sz w:val="20"/>
                <w:szCs w:val="20"/>
                <w:color w:val="auto"/>
              </w:rPr>
            </w:pPr>
            <w:r>
              <w:rPr>
                <w:rFonts w:ascii="Arial" w:cs="Arial" w:eastAsia="Arial" w:hAnsi="Arial"/>
                <w:sz w:val="22"/>
                <w:szCs w:val="22"/>
                <w:color w:val="auto"/>
              </w:rPr>
              <w:t>104</w:t>
            </w:r>
          </w:p>
        </w:tc>
        <w:tc>
          <w:tcPr>
            <w:tcW w:w="1560" w:type="dxa"/>
            <w:vAlign w:val="bottom"/>
          </w:tcPr>
          <w:p>
            <w:pPr>
              <w:spacing w:after="0"/>
              <w:rPr>
                <w:sz w:val="23"/>
                <w:szCs w:val="23"/>
                <w:color w:val="auto"/>
              </w:rPr>
            </w:pPr>
          </w:p>
        </w:tc>
      </w:tr>
      <w:tr>
        <w:trPr>
          <w:trHeight w:val="473"/>
        </w:trPr>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3"/>
          </w:tcPr>
          <w:p>
            <w:pPr>
              <w:jc w:val="center"/>
              <w:ind w:left="92"/>
              <w:spacing w:after="0"/>
              <w:rPr>
                <w:sz w:val="20"/>
                <w:szCs w:val="20"/>
                <w:color w:val="auto"/>
              </w:rPr>
            </w:pPr>
            <w:r>
              <w:rPr>
                <w:rFonts w:ascii="Arial" w:cs="Arial" w:eastAsia="Arial" w:hAnsi="Arial"/>
                <w:sz w:val="22"/>
                <w:szCs w:val="22"/>
                <w:color w:val="auto"/>
                <w:w w:val="98"/>
              </w:rPr>
              <w:t>ARTICLE V</w:t>
            </w:r>
          </w:p>
        </w:tc>
        <w:tc>
          <w:tcPr>
            <w:tcW w:w="1560" w:type="dxa"/>
            <w:vAlign w:val="bottom"/>
          </w:tcPr>
          <w:p>
            <w:pPr>
              <w:spacing w:after="0"/>
              <w:rPr>
                <w:sz w:val="24"/>
                <w:szCs w:val="24"/>
                <w:color w:val="auto"/>
              </w:rPr>
            </w:pPr>
          </w:p>
        </w:tc>
      </w:tr>
      <w:tr>
        <w:trPr>
          <w:trHeight w:val="513"/>
        </w:trPr>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gridSpan w:val="6"/>
          </w:tcPr>
          <w:p>
            <w:pPr>
              <w:jc w:val="center"/>
              <w:ind w:right="512"/>
              <w:spacing w:after="0"/>
              <w:rPr>
                <w:sz w:val="20"/>
                <w:szCs w:val="20"/>
                <w:color w:val="auto"/>
              </w:rPr>
            </w:pPr>
            <w:r>
              <w:rPr>
                <w:rFonts w:ascii="Arial" w:cs="Arial" w:eastAsia="Arial" w:hAnsi="Arial"/>
                <w:sz w:val="22"/>
                <w:szCs w:val="22"/>
                <w:color w:val="auto"/>
                <w:w w:val="97"/>
              </w:rPr>
              <w:t>AFFIRMATIVE COVENANTS</w:t>
            </w:r>
          </w:p>
        </w:tc>
      </w:tr>
      <w:tr>
        <w:trPr>
          <w:trHeight w:val="455"/>
        </w:trPr>
        <w:tc>
          <w:tcPr>
            <w:tcW w:w="1500" w:type="dxa"/>
            <w:vAlign w:val="bottom"/>
          </w:tcPr>
          <w:p>
            <w:pPr>
              <w:spacing w:after="0"/>
              <w:rPr>
                <w:sz w:val="20"/>
                <w:szCs w:val="20"/>
                <w:color w:val="auto"/>
              </w:rPr>
            </w:pPr>
            <w:r>
              <w:rPr>
                <w:rFonts w:ascii="Arial" w:cs="Arial" w:eastAsia="Arial" w:hAnsi="Arial"/>
                <w:sz w:val="22"/>
                <w:szCs w:val="22"/>
                <w:color w:val="auto"/>
                <w:w w:val="96"/>
              </w:rPr>
              <w:t>SECTION 5.01.</w:t>
            </w:r>
          </w:p>
        </w:tc>
        <w:tc>
          <w:tcPr>
            <w:tcW w:w="4120" w:type="dxa"/>
            <w:vAlign w:val="bottom"/>
            <w:gridSpan w:val="9"/>
          </w:tcPr>
          <w:p>
            <w:pPr>
              <w:ind w:left="120"/>
              <w:spacing w:after="0"/>
              <w:rPr>
                <w:sz w:val="20"/>
                <w:szCs w:val="20"/>
                <w:color w:val="auto"/>
              </w:rPr>
            </w:pPr>
            <w:r>
              <w:rPr>
                <w:rFonts w:ascii="Arial" w:cs="Arial" w:eastAsia="Arial" w:hAnsi="Arial"/>
                <w:sz w:val="22"/>
                <w:szCs w:val="22"/>
                <w:color w:val="auto"/>
                <w:w w:val="93"/>
              </w:rPr>
              <w:t>Financial Statements and Other Information</w:t>
            </w:r>
          </w:p>
        </w:tc>
        <w:tc>
          <w:tcPr>
            <w:tcW w:w="1560" w:type="dxa"/>
            <w:vAlign w:val="bottom"/>
          </w:tcPr>
          <w:p>
            <w:pPr>
              <w:jc w:val="right"/>
              <w:ind w:right="1112"/>
              <w:spacing w:after="0"/>
              <w:rPr>
                <w:sz w:val="20"/>
                <w:szCs w:val="20"/>
                <w:color w:val="auto"/>
              </w:rPr>
            </w:pPr>
            <w:r>
              <w:rPr>
                <w:rFonts w:ascii="Arial" w:cs="Arial" w:eastAsia="Arial" w:hAnsi="Arial"/>
                <w:sz w:val="22"/>
                <w:szCs w:val="22"/>
                <w:color w:val="auto"/>
                <w:w w:val="87"/>
              </w:rPr>
              <w:t>105</w:t>
            </w: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5.02.</w:t>
            </w:r>
          </w:p>
        </w:tc>
        <w:tc>
          <w:tcPr>
            <w:tcW w:w="2600" w:type="dxa"/>
            <w:vAlign w:val="bottom"/>
            <w:gridSpan w:val="6"/>
          </w:tcPr>
          <w:p>
            <w:pPr>
              <w:ind w:left="120"/>
              <w:spacing w:after="0"/>
              <w:rPr>
                <w:sz w:val="20"/>
                <w:szCs w:val="20"/>
                <w:color w:val="auto"/>
              </w:rPr>
            </w:pPr>
            <w:r>
              <w:rPr>
                <w:rFonts w:ascii="Arial" w:cs="Arial" w:eastAsia="Arial" w:hAnsi="Arial"/>
                <w:sz w:val="22"/>
                <w:szCs w:val="22"/>
                <w:color w:val="auto"/>
                <w:w w:val="96"/>
              </w:rPr>
              <w:t>Notices of Material Events</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107</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5.03.</w:t>
            </w:r>
          </w:p>
        </w:tc>
        <w:tc>
          <w:tcPr>
            <w:tcW w:w="3020" w:type="dxa"/>
            <w:vAlign w:val="bottom"/>
            <w:gridSpan w:val="7"/>
          </w:tcPr>
          <w:p>
            <w:pPr>
              <w:ind w:left="120"/>
              <w:spacing w:after="0"/>
              <w:rPr>
                <w:sz w:val="20"/>
                <w:szCs w:val="20"/>
                <w:color w:val="auto"/>
              </w:rPr>
            </w:pPr>
            <w:r>
              <w:rPr>
                <w:rFonts w:ascii="Arial" w:cs="Arial" w:eastAsia="Arial" w:hAnsi="Arial"/>
                <w:sz w:val="22"/>
                <w:szCs w:val="22"/>
                <w:color w:val="auto"/>
                <w:w w:val="90"/>
              </w:rPr>
              <w:t>Information Regarding Collateral</w:t>
            </w:r>
          </w:p>
        </w:tc>
        <w:tc>
          <w:tcPr>
            <w:tcW w:w="560" w:type="dxa"/>
            <w:vAlign w:val="bottom"/>
          </w:tcPr>
          <w:p>
            <w:pPr>
              <w:jc w:val="right"/>
              <w:spacing w:after="0"/>
              <w:rPr>
                <w:sz w:val="20"/>
                <w:szCs w:val="20"/>
                <w:color w:val="auto"/>
              </w:rPr>
            </w:pPr>
            <w:r>
              <w:rPr>
                <w:rFonts w:ascii="Arial" w:cs="Arial" w:eastAsia="Arial" w:hAnsi="Arial"/>
                <w:sz w:val="22"/>
                <w:szCs w:val="22"/>
                <w:color w:val="auto"/>
              </w:rPr>
              <w:t>108</w:t>
            </w: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5.04.</w:t>
            </w:r>
          </w:p>
        </w:tc>
        <w:tc>
          <w:tcPr>
            <w:tcW w:w="3020" w:type="dxa"/>
            <w:vAlign w:val="bottom"/>
            <w:gridSpan w:val="7"/>
          </w:tcPr>
          <w:p>
            <w:pPr>
              <w:ind w:left="120"/>
              <w:spacing w:after="0"/>
              <w:rPr>
                <w:sz w:val="20"/>
                <w:szCs w:val="20"/>
                <w:color w:val="auto"/>
              </w:rPr>
            </w:pPr>
            <w:r>
              <w:rPr>
                <w:rFonts w:ascii="Arial" w:cs="Arial" w:eastAsia="Arial" w:hAnsi="Arial"/>
                <w:sz w:val="22"/>
                <w:szCs w:val="22"/>
                <w:color w:val="auto"/>
                <w:w w:val="93"/>
              </w:rPr>
              <w:t>Existence; Conduct of Business</w:t>
            </w:r>
          </w:p>
        </w:tc>
        <w:tc>
          <w:tcPr>
            <w:tcW w:w="560" w:type="dxa"/>
            <w:vAlign w:val="bottom"/>
          </w:tcPr>
          <w:p>
            <w:pPr>
              <w:jc w:val="right"/>
              <w:ind w:right="72"/>
              <w:spacing w:after="0"/>
              <w:rPr>
                <w:sz w:val="20"/>
                <w:szCs w:val="20"/>
                <w:color w:val="auto"/>
              </w:rPr>
            </w:pPr>
            <w:r>
              <w:rPr>
                <w:rFonts w:ascii="Arial" w:cs="Arial" w:eastAsia="Arial" w:hAnsi="Arial"/>
                <w:sz w:val="22"/>
                <w:szCs w:val="22"/>
                <w:color w:val="auto"/>
                <w:w w:val="97"/>
              </w:rPr>
              <w:t>108</w:t>
            </w: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5.05.</w:t>
            </w:r>
          </w:p>
        </w:tc>
        <w:tc>
          <w:tcPr>
            <w:tcW w:w="1860" w:type="dxa"/>
            <w:vAlign w:val="bottom"/>
            <w:gridSpan w:val="4"/>
          </w:tcPr>
          <w:p>
            <w:pPr>
              <w:ind w:left="120"/>
              <w:spacing w:after="0"/>
              <w:rPr>
                <w:sz w:val="20"/>
                <w:szCs w:val="20"/>
                <w:color w:val="auto"/>
              </w:rPr>
            </w:pPr>
            <w:r>
              <w:rPr>
                <w:rFonts w:ascii="Arial" w:cs="Arial" w:eastAsia="Arial" w:hAnsi="Arial"/>
                <w:sz w:val="22"/>
                <w:szCs w:val="22"/>
                <w:color w:val="auto"/>
                <w:w w:val="96"/>
              </w:rPr>
              <w:t>Payment of Taxes</w:t>
            </w:r>
          </w:p>
        </w:tc>
        <w:tc>
          <w:tcPr>
            <w:tcW w:w="340" w:type="dxa"/>
            <w:vAlign w:val="bottom"/>
          </w:tcPr>
          <w:p>
            <w:pPr>
              <w:ind w:left="20"/>
              <w:spacing w:after="0"/>
              <w:rPr>
                <w:sz w:val="20"/>
                <w:szCs w:val="20"/>
                <w:color w:val="auto"/>
              </w:rPr>
            </w:pPr>
            <w:r>
              <w:rPr>
                <w:rFonts w:ascii="Arial" w:cs="Arial" w:eastAsia="Arial" w:hAnsi="Arial"/>
                <w:sz w:val="22"/>
                <w:szCs w:val="22"/>
                <w:color w:val="auto"/>
                <w:w w:val="81"/>
              </w:rPr>
              <w:t>109</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5.06.</w:t>
            </w:r>
          </w:p>
        </w:tc>
        <w:tc>
          <w:tcPr>
            <w:tcW w:w="2600" w:type="dxa"/>
            <w:vAlign w:val="bottom"/>
            <w:gridSpan w:val="6"/>
          </w:tcPr>
          <w:p>
            <w:pPr>
              <w:ind w:left="120"/>
              <w:spacing w:after="0"/>
              <w:rPr>
                <w:sz w:val="20"/>
                <w:szCs w:val="20"/>
                <w:color w:val="auto"/>
              </w:rPr>
            </w:pPr>
            <w:r>
              <w:rPr>
                <w:rFonts w:ascii="Arial" w:cs="Arial" w:eastAsia="Arial" w:hAnsi="Arial"/>
                <w:sz w:val="22"/>
                <w:szCs w:val="22"/>
                <w:color w:val="auto"/>
                <w:w w:val="95"/>
              </w:rPr>
              <w:t>Maintenance of Properties</w:t>
            </w:r>
          </w:p>
        </w:tc>
        <w:tc>
          <w:tcPr>
            <w:tcW w:w="420" w:type="dxa"/>
            <w:vAlign w:val="bottom"/>
          </w:tcPr>
          <w:p>
            <w:pPr>
              <w:jc w:val="right"/>
              <w:spacing w:after="0"/>
              <w:rPr>
                <w:sz w:val="20"/>
                <w:szCs w:val="20"/>
                <w:color w:val="auto"/>
              </w:rPr>
            </w:pPr>
            <w:r>
              <w:rPr>
                <w:rFonts w:ascii="Arial" w:cs="Arial" w:eastAsia="Arial" w:hAnsi="Arial"/>
                <w:sz w:val="22"/>
                <w:szCs w:val="22"/>
                <w:color w:val="auto"/>
                <w:w w:val="87"/>
              </w:rPr>
              <w:t>109</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w w:val="96"/>
              </w:rPr>
              <w:t>SECTION 5.07.</w:t>
            </w:r>
          </w:p>
        </w:tc>
        <w:tc>
          <w:tcPr>
            <w:tcW w:w="1160" w:type="dxa"/>
            <w:vAlign w:val="bottom"/>
            <w:gridSpan w:val="2"/>
          </w:tcPr>
          <w:p>
            <w:pPr>
              <w:ind w:left="120"/>
              <w:spacing w:after="0"/>
              <w:rPr>
                <w:sz w:val="20"/>
                <w:szCs w:val="20"/>
                <w:color w:val="auto"/>
              </w:rPr>
            </w:pPr>
            <w:r>
              <w:rPr>
                <w:rFonts w:ascii="Arial" w:cs="Arial" w:eastAsia="Arial" w:hAnsi="Arial"/>
                <w:sz w:val="22"/>
                <w:szCs w:val="22"/>
                <w:color w:val="auto"/>
              </w:rPr>
              <w:t>Insurance</w:t>
            </w:r>
          </w:p>
        </w:tc>
        <w:tc>
          <w:tcPr>
            <w:tcW w:w="380" w:type="dxa"/>
            <w:vAlign w:val="bottom"/>
          </w:tcPr>
          <w:p>
            <w:pPr>
              <w:jc w:val="right"/>
              <w:spacing w:after="0"/>
              <w:rPr>
                <w:sz w:val="20"/>
                <w:szCs w:val="20"/>
                <w:color w:val="auto"/>
              </w:rPr>
            </w:pPr>
            <w:r>
              <w:rPr>
                <w:rFonts w:ascii="Arial" w:cs="Arial" w:eastAsia="Arial" w:hAnsi="Arial"/>
                <w:sz w:val="22"/>
                <w:szCs w:val="22"/>
                <w:color w:val="auto"/>
                <w:w w:val="87"/>
              </w:rPr>
              <w:t>109</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479"/>
          </w:cols>
          <w:pgMar w:left="980" w:top="1440" w:right="1440"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5.08.</w:t>
            </w:r>
          </w:p>
        </w:tc>
        <w:tc>
          <w:tcPr>
            <w:tcW w:w="2220" w:type="dxa"/>
            <w:vAlign w:val="bottom"/>
            <w:gridSpan w:val="3"/>
          </w:tcPr>
          <w:p>
            <w:pPr>
              <w:ind w:left="120"/>
              <w:spacing w:after="0"/>
              <w:rPr>
                <w:sz w:val="20"/>
                <w:szCs w:val="20"/>
                <w:color w:val="auto"/>
              </w:rPr>
            </w:pPr>
            <w:r>
              <w:rPr>
                <w:rFonts w:ascii="Arial" w:cs="Arial" w:eastAsia="Arial" w:hAnsi="Arial"/>
                <w:sz w:val="22"/>
                <w:szCs w:val="22"/>
                <w:color w:val="auto"/>
              </w:rPr>
              <w:t>Environmental  109</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5.09.</w:t>
            </w:r>
          </w:p>
        </w:tc>
        <w:tc>
          <w:tcPr>
            <w:tcW w:w="5540" w:type="dxa"/>
            <w:vAlign w:val="bottom"/>
            <w:gridSpan w:val="6"/>
          </w:tcPr>
          <w:p>
            <w:pPr>
              <w:ind w:left="120"/>
              <w:spacing w:after="0"/>
              <w:rPr>
                <w:sz w:val="20"/>
                <w:szCs w:val="20"/>
                <w:color w:val="auto"/>
              </w:rPr>
            </w:pPr>
            <w:r>
              <w:rPr>
                <w:rFonts w:ascii="Arial" w:cs="Arial" w:eastAsia="Arial" w:hAnsi="Arial"/>
                <w:sz w:val="22"/>
                <w:szCs w:val="22"/>
                <w:color w:val="auto"/>
              </w:rPr>
              <w:t>Books and Records; Inspection and Audit Rights  110</w:t>
            </w: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5.10.</w:t>
            </w:r>
          </w:p>
        </w:tc>
        <w:tc>
          <w:tcPr>
            <w:tcW w:w="2220" w:type="dxa"/>
            <w:vAlign w:val="bottom"/>
            <w:gridSpan w:val="3"/>
          </w:tcPr>
          <w:p>
            <w:pPr>
              <w:ind w:left="120"/>
              <w:spacing w:after="0"/>
              <w:rPr>
                <w:sz w:val="20"/>
                <w:szCs w:val="20"/>
                <w:color w:val="auto"/>
              </w:rPr>
            </w:pPr>
            <w:r>
              <w:rPr>
                <w:rFonts w:ascii="Arial" w:cs="Arial" w:eastAsia="Arial" w:hAnsi="Arial"/>
                <w:sz w:val="22"/>
                <w:szCs w:val="22"/>
                <w:color w:val="auto"/>
                <w:w w:val="95"/>
              </w:rPr>
              <w:t>Compliance with Laws</w:t>
            </w:r>
          </w:p>
        </w:tc>
        <w:tc>
          <w:tcPr>
            <w:tcW w:w="1180" w:type="dxa"/>
            <w:vAlign w:val="bottom"/>
            <w:gridSpan w:val="2"/>
          </w:tcPr>
          <w:p>
            <w:pPr>
              <w:jc w:val="right"/>
              <w:ind w:right="652"/>
              <w:spacing w:after="0"/>
              <w:rPr>
                <w:sz w:val="20"/>
                <w:szCs w:val="20"/>
                <w:color w:val="auto"/>
              </w:rPr>
            </w:pPr>
            <w:r>
              <w:rPr>
                <w:rFonts w:ascii="Arial" w:cs="Arial" w:eastAsia="Arial" w:hAnsi="Arial"/>
                <w:sz w:val="22"/>
                <w:szCs w:val="22"/>
                <w:color w:val="auto"/>
              </w:rPr>
              <w:t>110</w:t>
            </w: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5.11.</w:t>
            </w:r>
          </w:p>
        </w:tc>
        <w:tc>
          <w:tcPr>
            <w:tcW w:w="3400" w:type="dxa"/>
            <w:vAlign w:val="bottom"/>
            <w:gridSpan w:val="5"/>
          </w:tcPr>
          <w:p>
            <w:pPr>
              <w:ind w:left="100"/>
              <w:spacing w:after="0"/>
              <w:rPr>
                <w:sz w:val="20"/>
                <w:szCs w:val="20"/>
                <w:color w:val="auto"/>
              </w:rPr>
            </w:pPr>
            <w:r>
              <w:rPr>
                <w:rFonts w:ascii="Arial" w:cs="Arial" w:eastAsia="Arial" w:hAnsi="Arial"/>
                <w:sz w:val="22"/>
                <w:szCs w:val="22"/>
                <w:color w:val="auto"/>
                <w:w w:val="89"/>
              </w:rPr>
              <w:t>Use of Proceeds and Letters of Credit</w:t>
            </w:r>
          </w:p>
        </w:tc>
        <w:tc>
          <w:tcPr>
            <w:tcW w:w="2140" w:type="dxa"/>
            <w:vAlign w:val="bottom"/>
          </w:tcPr>
          <w:p>
            <w:pPr>
              <w:jc w:val="right"/>
              <w:ind w:right="1552"/>
              <w:spacing w:after="0"/>
              <w:rPr>
                <w:sz w:val="20"/>
                <w:szCs w:val="20"/>
                <w:color w:val="auto"/>
              </w:rPr>
            </w:pPr>
            <w:r>
              <w:rPr>
                <w:rFonts w:ascii="Arial" w:cs="Arial" w:eastAsia="Arial" w:hAnsi="Arial"/>
                <w:sz w:val="22"/>
                <w:szCs w:val="22"/>
                <w:color w:val="auto"/>
              </w:rPr>
              <w:t>111</w:t>
            </w:r>
          </w:p>
        </w:tc>
        <w:tc>
          <w:tcPr>
            <w:tcW w:w="54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5.12.</w:t>
            </w:r>
          </w:p>
        </w:tc>
        <w:tc>
          <w:tcPr>
            <w:tcW w:w="2220" w:type="dxa"/>
            <w:vAlign w:val="bottom"/>
            <w:gridSpan w:val="3"/>
          </w:tcPr>
          <w:p>
            <w:pPr>
              <w:ind w:left="120"/>
              <w:spacing w:after="0"/>
              <w:rPr>
                <w:sz w:val="20"/>
                <w:szCs w:val="20"/>
                <w:color w:val="auto"/>
              </w:rPr>
            </w:pPr>
            <w:r>
              <w:rPr>
                <w:rFonts w:ascii="Arial" w:cs="Arial" w:eastAsia="Arial" w:hAnsi="Arial"/>
                <w:sz w:val="22"/>
                <w:szCs w:val="22"/>
                <w:color w:val="auto"/>
                <w:w w:val="93"/>
              </w:rPr>
              <w:t>Additional Subsidiaries</w:t>
            </w:r>
          </w:p>
        </w:tc>
        <w:tc>
          <w:tcPr>
            <w:tcW w:w="1180" w:type="dxa"/>
            <w:vAlign w:val="bottom"/>
            <w:gridSpan w:val="2"/>
          </w:tcPr>
          <w:p>
            <w:pPr>
              <w:ind w:left="140"/>
              <w:spacing w:after="0"/>
              <w:rPr>
                <w:sz w:val="20"/>
                <w:szCs w:val="20"/>
                <w:color w:val="auto"/>
              </w:rPr>
            </w:pPr>
            <w:r>
              <w:rPr>
                <w:rFonts w:ascii="Arial" w:cs="Arial" w:eastAsia="Arial" w:hAnsi="Arial"/>
                <w:sz w:val="22"/>
                <w:szCs w:val="22"/>
                <w:color w:val="auto"/>
              </w:rPr>
              <w:t>111</w:t>
            </w: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5.13.</w:t>
            </w: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w w:val="87"/>
              </w:rPr>
              <w:t>Further Assurances</w:t>
            </w:r>
          </w:p>
        </w:tc>
        <w:tc>
          <w:tcPr>
            <w:tcW w:w="720" w:type="dxa"/>
            <w:vAlign w:val="bottom"/>
            <w:gridSpan w:val="2"/>
          </w:tcPr>
          <w:p>
            <w:pPr>
              <w:jc w:val="right"/>
              <w:ind w:right="112"/>
              <w:spacing w:after="0"/>
              <w:rPr>
                <w:sz w:val="20"/>
                <w:szCs w:val="20"/>
                <w:color w:val="auto"/>
              </w:rPr>
            </w:pPr>
            <w:r>
              <w:rPr>
                <w:rFonts w:ascii="Arial" w:cs="Arial" w:eastAsia="Arial" w:hAnsi="Arial"/>
                <w:sz w:val="22"/>
                <w:szCs w:val="22"/>
                <w:color w:val="auto"/>
              </w:rPr>
              <w:t>111</w:t>
            </w:r>
          </w:p>
        </w:tc>
        <w:tc>
          <w:tcPr>
            <w:tcW w:w="8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5.14.</w:t>
            </w: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w w:val="96"/>
              </w:rPr>
              <w:t>Vessel Appraisals</w:t>
            </w:r>
          </w:p>
        </w:tc>
        <w:tc>
          <w:tcPr>
            <w:tcW w:w="400" w:type="dxa"/>
            <w:vAlign w:val="bottom"/>
          </w:tcPr>
          <w:p>
            <w:pPr>
              <w:jc w:val="right"/>
              <w:spacing w:after="0"/>
              <w:rPr>
                <w:sz w:val="20"/>
                <w:szCs w:val="20"/>
                <w:color w:val="auto"/>
              </w:rPr>
            </w:pPr>
            <w:r>
              <w:rPr>
                <w:rFonts w:ascii="Arial" w:cs="Arial" w:eastAsia="Arial" w:hAnsi="Arial"/>
                <w:sz w:val="22"/>
                <w:szCs w:val="22"/>
                <w:color w:val="auto"/>
                <w:w w:val="92"/>
              </w:rPr>
              <w:t>112</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5.15.</w:t>
            </w:r>
          </w:p>
        </w:tc>
        <w:tc>
          <w:tcPr>
            <w:tcW w:w="2540" w:type="dxa"/>
            <w:vAlign w:val="bottom"/>
            <w:gridSpan w:val="4"/>
          </w:tcPr>
          <w:p>
            <w:pPr>
              <w:ind w:left="120"/>
              <w:spacing w:after="0"/>
              <w:rPr>
                <w:sz w:val="20"/>
                <w:szCs w:val="20"/>
                <w:color w:val="auto"/>
              </w:rPr>
            </w:pPr>
            <w:r>
              <w:rPr>
                <w:rFonts w:ascii="Arial" w:cs="Arial" w:eastAsia="Arial" w:hAnsi="Arial"/>
                <w:sz w:val="22"/>
                <w:szCs w:val="22"/>
                <w:color w:val="auto"/>
                <w:w w:val="89"/>
              </w:rPr>
              <w:t>Post-Effective Date Matters</w:t>
            </w:r>
          </w:p>
        </w:tc>
        <w:tc>
          <w:tcPr>
            <w:tcW w:w="860" w:type="dxa"/>
            <w:vAlign w:val="bottom"/>
          </w:tcPr>
          <w:p>
            <w:pPr>
              <w:jc w:val="right"/>
              <w:ind w:right="232"/>
              <w:spacing w:after="0"/>
              <w:rPr>
                <w:sz w:val="20"/>
                <w:szCs w:val="20"/>
                <w:color w:val="auto"/>
              </w:rPr>
            </w:pPr>
            <w:r>
              <w:rPr>
                <w:rFonts w:ascii="Arial" w:cs="Arial" w:eastAsia="Arial" w:hAnsi="Arial"/>
                <w:sz w:val="22"/>
                <w:szCs w:val="22"/>
                <w:color w:val="auto"/>
              </w:rPr>
              <w:t>113</w:t>
            </w: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w w:val="96"/>
              </w:rPr>
              <w:t>SECTION 5.16.</w:t>
            </w:r>
          </w:p>
        </w:tc>
        <w:tc>
          <w:tcPr>
            <w:tcW w:w="2540" w:type="dxa"/>
            <w:vAlign w:val="bottom"/>
            <w:gridSpan w:val="4"/>
          </w:tcPr>
          <w:p>
            <w:pPr>
              <w:ind w:left="120"/>
              <w:spacing w:after="0"/>
              <w:rPr>
                <w:sz w:val="20"/>
                <w:szCs w:val="20"/>
                <w:color w:val="auto"/>
              </w:rPr>
            </w:pPr>
            <w:r>
              <w:rPr>
                <w:rFonts w:ascii="Arial" w:cs="Arial" w:eastAsia="Arial" w:hAnsi="Arial"/>
                <w:sz w:val="22"/>
                <w:szCs w:val="22"/>
                <w:color w:val="auto"/>
                <w:w w:val="90"/>
              </w:rPr>
              <w:t>Designation of Subsidiaries</w:t>
            </w:r>
          </w:p>
        </w:tc>
        <w:tc>
          <w:tcPr>
            <w:tcW w:w="860" w:type="dxa"/>
            <w:vAlign w:val="bottom"/>
          </w:tcPr>
          <w:p>
            <w:pPr>
              <w:jc w:val="right"/>
              <w:ind w:right="252"/>
              <w:spacing w:after="0"/>
              <w:rPr>
                <w:sz w:val="20"/>
                <w:szCs w:val="20"/>
                <w:color w:val="auto"/>
              </w:rPr>
            </w:pPr>
            <w:r>
              <w:rPr>
                <w:rFonts w:ascii="Arial" w:cs="Arial" w:eastAsia="Arial" w:hAnsi="Arial"/>
                <w:sz w:val="22"/>
                <w:szCs w:val="22"/>
                <w:color w:val="auto"/>
              </w:rPr>
              <w:t>113</w:t>
            </w:r>
          </w:p>
        </w:tc>
        <w:tc>
          <w:tcPr>
            <w:tcW w:w="2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473"/>
        </w:trPr>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2"/>
          </w:tcPr>
          <w:p>
            <w:pPr>
              <w:jc w:val="center"/>
              <w:ind w:right="1032"/>
              <w:spacing w:after="0"/>
              <w:rPr>
                <w:sz w:val="20"/>
                <w:szCs w:val="20"/>
                <w:color w:val="auto"/>
              </w:rPr>
            </w:pPr>
            <w:r>
              <w:rPr>
                <w:rFonts w:ascii="Arial" w:cs="Arial" w:eastAsia="Arial" w:hAnsi="Arial"/>
                <w:sz w:val="22"/>
                <w:szCs w:val="22"/>
                <w:color w:val="auto"/>
                <w:w w:val="98"/>
              </w:rPr>
              <w:t>ARTICLE VI</w:t>
            </w:r>
          </w:p>
        </w:tc>
        <w:tc>
          <w:tcPr>
            <w:tcW w:w="540" w:type="dxa"/>
            <w:vAlign w:val="bottom"/>
          </w:tcPr>
          <w:p>
            <w:pPr>
              <w:spacing w:after="0"/>
              <w:rPr>
                <w:sz w:val="24"/>
                <w:szCs w:val="24"/>
                <w:color w:val="auto"/>
              </w:rPr>
            </w:pPr>
          </w:p>
        </w:tc>
      </w:tr>
      <w:tr>
        <w:trPr>
          <w:trHeight w:val="513"/>
        </w:trPr>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3"/>
          </w:tcPr>
          <w:p>
            <w:pPr>
              <w:jc w:val="center"/>
              <w:ind w:right="732"/>
              <w:spacing w:after="0"/>
              <w:rPr>
                <w:sz w:val="20"/>
                <w:szCs w:val="20"/>
                <w:color w:val="auto"/>
              </w:rPr>
            </w:pPr>
            <w:r>
              <w:rPr>
                <w:rFonts w:ascii="Arial" w:cs="Arial" w:eastAsia="Arial" w:hAnsi="Arial"/>
                <w:sz w:val="22"/>
                <w:szCs w:val="22"/>
                <w:color w:val="auto"/>
                <w:w w:val="95"/>
              </w:rPr>
              <w:t>NEGATIVE COVENANTS</w:t>
            </w:r>
          </w:p>
        </w:tc>
        <w:tc>
          <w:tcPr>
            <w:tcW w:w="540" w:type="dxa"/>
            <w:vAlign w:val="bottom"/>
          </w:tcPr>
          <w:p>
            <w:pPr>
              <w:spacing w:after="0"/>
              <w:rPr>
                <w:sz w:val="24"/>
                <w:szCs w:val="24"/>
                <w:color w:val="auto"/>
              </w:rPr>
            </w:pPr>
          </w:p>
        </w:tc>
      </w:tr>
      <w:tr>
        <w:trPr>
          <w:trHeight w:val="455"/>
        </w:trPr>
        <w:tc>
          <w:tcPr>
            <w:tcW w:w="1500" w:type="dxa"/>
            <w:vAlign w:val="bottom"/>
          </w:tcPr>
          <w:p>
            <w:pPr>
              <w:spacing w:after="0"/>
              <w:rPr>
                <w:sz w:val="20"/>
                <w:szCs w:val="20"/>
                <w:color w:val="auto"/>
              </w:rPr>
            </w:pPr>
            <w:r>
              <w:rPr>
                <w:rFonts w:ascii="Arial" w:cs="Arial" w:eastAsia="Arial" w:hAnsi="Arial"/>
                <w:sz w:val="22"/>
                <w:szCs w:val="22"/>
                <w:color w:val="auto"/>
                <w:w w:val="96"/>
              </w:rPr>
              <w:t>SECTION 6.01.</w:t>
            </w:r>
          </w:p>
        </w:tc>
        <w:tc>
          <w:tcPr>
            <w:tcW w:w="1260" w:type="dxa"/>
            <w:vAlign w:val="bottom"/>
          </w:tcPr>
          <w:p>
            <w:pPr>
              <w:ind w:left="120"/>
              <w:spacing w:after="0"/>
              <w:rPr>
                <w:sz w:val="20"/>
                <w:szCs w:val="20"/>
                <w:color w:val="auto"/>
              </w:rPr>
            </w:pPr>
            <w:r>
              <w:rPr>
                <w:rFonts w:ascii="Arial" w:cs="Arial" w:eastAsia="Arial" w:hAnsi="Arial"/>
                <w:sz w:val="22"/>
                <w:szCs w:val="22"/>
                <w:color w:val="auto"/>
                <w:w w:val="84"/>
              </w:rPr>
              <w:t>Indebtedness</w:t>
            </w:r>
          </w:p>
        </w:tc>
        <w:tc>
          <w:tcPr>
            <w:tcW w:w="560" w:type="dxa"/>
            <w:vAlign w:val="bottom"/>
          </w:tcPr>
          <w:p>
            <w:pPr>
              <w:jc w:val="right"/>
              <w:spacing w:after="0"/>
              <w:rPr>
                <w:sz w:val="20"/>
                <w:szCs w:val="20"/>
                <w:color w:val="auto"/>
              </w:rPr>
            </w:pPr>
            <w:r>
              <w:rPr>
                <w:rFonts w:ascii="Arial" w:cs="Arial" w:eastAsia="Arial" w:hAnsi="Arial"/>
                <w:sz w:val="22"/>
                <w:szCs w:val="22"/>
                <w:color w:val="auto"/>
              </w:rPr>
              <w:t>114</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6.02.</w:t>
            </w:r>
          </w:p>
        </w:tc>
        <w:tc>
          <w:tcPr>
            <w:tcW w:w="1260" w:type="dxa"/>
            <w:vAlign w:val="bottom"/>
          </w:tcPr>
          <w:p>
            <w:pPr>
              <w:ind w:left="120"/>
              <w:spacing w:after="0"/>
              <w:rPr>
                <w:sz w:val="20"/>
                <w:szCs w:val="20"/>
                <w:color w:val="auto"/>
              </w:rPr>
            </w:pPr>
            <w:r>
              <w:rPr>
                <w:rFonts w:ascii="Arial" w:cs="Arial" w:eastAsia="Arial" w:hAnsi="Arial"/>
                <w:sz w:val="22"/>
                <w:szCs w:val="22"/>
                <w:color w:val="auto"/>
              </w:rPr>
              <w:t>Liens  117</w:t>
            </w: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6.03.</w:t>
            </w:r>
          </w:p>
        </w:tc>
        <w:tc>
          <w:tcPr>
            <w:tcW w:w="2220" w:type="dxa"/>
            <w:vAlign w:val="bottom"/>
            <w:gridSpan w:val="3"/>
          </w:tcPr>
          <w:p>
            <w:pPr>
              <w:ind w:left="120"/>
              <w:spacing w:after="0"/>
              <w:rPr>
                <w:sz w:val="20"/>
                <w:szCs w:val="20"/>
                <w:color w:val="auto"/>
              </w:rPr>
            </w:pPr>
            <w:r>
              <w:rPr>
                <w:rFonts w:ascii="Arial" w:cs="Arial" w:eastAsia="Arial" w:hAnsi="Arial"/>
                <w:sz w:val="22"/>
                <w:szCs w:val="22"/>
                <w:color w:val="auto"/>
                <w:w w:val="93"/>
              </w:rPr>
              <w:t>Fundamental Changes</w:t>
            </w:r>
          </w:p>
        </w:tc>
        <w:tc>
          <w:tcPr>
            <w:tcW w:w="1180" w:type="dxa"/>
            <w:vAlign w:val="bottom"/>
            <w:gridSpan w:val="2"/>
          </w:tcPr>
          <w:p>
            <w:pPr>
              <w:jc w:val="right"/>
              <w:ind w:right="712"/>
              <w:spacing w:after="0"/>
              <w:rPr>
                <w:sz w:val="20"/>
                <w:szCs w:val="20"/>
                <w:color w:val="auto"/>
              </w:rPr>
            </w:pPr>
            <w:r>
              <w:rPr>
                <w:rFonts w:ascii="Arial" w:cs="Arial" w:eastAsia="Arial" w:hAnsi="Arial"/>
                <w:sz w:val="22"/>
                <w:szCs w:val="22"/>
                <w:color w:val="auto"/>
                <w:w w:val="92"/>
              </w:rPr>
              <w:t>118</w:t>
            </w: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6.04.</w:t>
            </w:r>
          </w:p>
        </w:tc>
        <w:tc>
          <w:tcPr>
            <w:tcW w:w="5540" w:type="dxa"/>
            <w:vAlign w:val="bottom"/>
            <w:gridSpan w:val="6"/>
          </w:tcPr>
          <w:p>
            <w:pPr>
              <w:ind w:left="120"/>
              <w:spacing w:after="0"/>
              <w:rPr>
                <w:sz w:val="20"/>
                <w:szCs w:val="20"/>
                <w:color w:val="auto"/>
              </w:rPr>
            </w:pPr>
            <w:r>
              <w:rPr>
                <w:rFonts w:ascii="Arial" w:cs="Arial" w:eastAsia="Arial" w:hAnsi="Arial"/>
                <w:sz w:val="22"/>
                <w:szCs w:val="22"/>
                <w:color w:val="auto"/>
                <w:w w:val="91"/>
              </w:rPr>
              <w:t>Investments, Loans, Advances, Guarantees and Acquisitions</w:t>
            </w:r>
          </w:p>
        </w:tc>
        <w:tc>
          <w:tcPr>
            <w:tcW w:w="540" w:type="dxa"/>
            <w:vAlign w:val="bottom"/>
          </w:tcPr>
          <w:p>
            <w:pPr>
              <w:jc w:val="right"/>
              <w:ind w:right="92"/>
              <w:spacing w:after="0"/>
              <w:rPr>
                <w:sz w:val="20"/>
                <w:szCs w:val="20"/>
                <w:color w:val="auto"/>
              </w:rPr>
            </w:pPr>
            <w:r>
              <w:rPr>
                <w:rFonts w:ascii="Arial" w:cs="Arial" w:eastAsia="Arial" w:hAnsi="Arial"/>
                <w:sz w:val="22"/>
                <w:szCs w:val="22"/>
                <w:color w:val="auto"/>
                <w:w w:val="87"/>
              </w:rPr>
              <w:t>119</w:t>
            </w: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6.05.</w:t>
            </w:r>
          </w:p>
        </w:tc>
        <w:tc>
          <w:tcPr>
            <w:tcW w:w="1260" w:type="dxa"/>
            <w:vAlign w:val="bottom"/>
          </w:tcPr>
          <w:p>
            <w:pPr>
              <w:ind w:left="120"/>
              <w:spacing w:after="0"/>
              <w:rPr>
                <w:sz w:val="20"/>
                <w:szCs w:val="20"/>
                <w:color w:val="auto"/>
              </w:rPr>
            </w:pPr>
            <w:r>
              <w:rPr>
                <w:rFonts w:ascii="Arial" w:cs="Arial" w:eastAsia="Arial" w:hAnsi="Arial"/>
                <w:sz w:val="22"/>
                <w:szCs w:val="22"/>
                <w:color w:val="auto"/>
                <w:w w:val="96"/>
              </w:rPr>
              <w:t>Asset Sales</w:t>
            </w:r>
          </w:p>
        </w:tc>
        <w:tc>
          <w:tcPr>
            <w:tcW w:w="560" w:type="dxa"/>
            <w:vAlign w:val="bottom"/>
          </w:tcPr>
          <w:p>
            <w:pPr>
              <w:jc w:val="right"/>
              <w:ind w:right="72"/>
              <w:spacing w:after="0"/>
              <w:rPr>
                <w:sz w:val="20"/>
                <w:szCs w:val="20"/>
                <w:color w:val="auto"/>
              </w:rPr>
            </w:pPr>
            <w:r>
              <w:rPr>
                <w:rFonts w:ascii="Arial" w:cs="Arial" w:eastAsia="Arial" w:hAnsi="Arial"/>
                <w:sz w:val="22"/>
                <w:szCs w:val="22"/>
                <w:color w:val="auto"/>
                <w:w w:val="97"/>
              </w:rPr>
              <w:t>121</w:t>
            </w: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6.06.</w:t>
            </w:r>
          </w:p>
        </w:tc>
        <w:tc>
          <w:tcPr>
            <w:tcW w:w="12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w w:val="87"/>
              </w:rPr>
              <w:t>123</w:t>
            </w: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6.07.</w:t>
            </w:r>
          </w:p>
        </w:tc>
        <w:tc>
          <w:tcPr>
            <w:tcW w:w="3400" w:type="dxa"/>
            <w:vAlign w:val="bottom"/>
            <w:gridSpan w:val="5"/>
          </w:tcPr>
          <w:p>
            <w:pPr>
              <w:ind w:left="120"/>
              <w:spacing w:after="0"/>
              <w:rPr>
                <w:sz w:val="20"/>
                <w:szCs w:val="20"/>
                <w:color w:val="auto"/>
              </w:rPr>
            </w:pPr>
            <w:r>
              <w:rPr>
                <w:rFonts w:ascii="Arial" w:cs="Arial" w:eastAsia="Arial" w:hAnsi="Arial"/>
                <w:sz w:val="22"/>
                <w:szCs w:val="22"/>
                <w:color w:val="auto"/>
                <w:w w:val="88"/>
              </w:rPr>
              <w:t>Use of Proceeds and Letters of Credit</w:t>
            </w:r>
          </w:p>
        </w:tc>
        <w:tc>
          <w:tcPr>
            <w:tcW w:w="2140" w:type="dxa"/>
            <w:vAlign w:val="bottom"/>
          </w:tcPr>
          <w:p>
            <w:pPr>
              <w:jc w:val="right"/>
              <w:ind w:right="1532"/>
              <w:spacing w:after="0"/>
              <w:rPr>
                <w:sz w:val="20"/>
                <w:szCs w:val="20"/>
                <w:color w:val="auto"/>
              </w:rPr>
            </w:pPr>
            <w:r>
              <w:rPr>
                <w:rFonts w:ascii="Arial" w:cs="Arial" w:eastAsia="Arial" w:hAnsi="Arial"/>
                <w:sz w:val="22"/>
                <w:szCs w:val="22"/>
                <w:color w:val="auto"/>
              </w:rPr>
              <w:t>123</w:t>
            </w: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6.08.</w:t>
            </w:r>
          </w:p>
        </w:tc>
        <w:tc>
          <w:tcPr>
            <w:tcW w:w="5540" w:type="dxa"/>
            <w:vAlign w:val="bottom"/>
            <w:gridSpan w:val="6"/>
          </w:tcPr>
          <w:p>
            <w:pPr>
              <w:ind w:left="120"/>
              <w:spacing w:after="0"/>
              <w:rPr>
                <w:sz w:val="20"/>
                <w:szCs w:val="20"/>
                <w:color w:val="auto"/>
              </w:rPr>
            </w:pPr>
            <w:r>
              <w:rPr>
                <w:rFonts w:ascii="Arial" w:cs="Arial" w:eastAsia="Arial" w:hAnsi="Arial"/>
                <w:sz w:val="22"/>
                <w:szCs w:val="22"/>
                <w:color w:val="auto"/>
                <w:w w:val="87"/>
              </w:rPr>
              <w:t>Restricted Payments; Certain Payments of Junior Indebtedness</w:t>
            </w:r>
          </w:p>
        </w:tc>
        <w:tc>
          <w:tcPr>
            <w:tcW w:w="54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6.09.</w:t>
            </w:r>
          </w:p>
        </w:tc>
        <w:tc>
          <w:tcPr>
            <w:tcW w:w="2540" w:type="dxa"/>
            <w:vAlign w:val="bottom"/>
            <w:gridSpan w:val="4"/>
          </w:tcPr>
          <w:p>
            <w:pPr>
              <w:ind w:left="120"/>
              <w:spacing w:after="0"/>
              <w:rPr>
                <w:sz w:val="20"/>
                <w:szCs w:val="20"/>
                <w:color w:val="auto"/>
              </w:rPr>
            </w:pPr>
            <w:r>
              <w:rPr>
                <w:rFonts w:ascii="Arial" w:cs="Arial" w:eastAsia="Arial" w:hAnsi="Arial"/>
                <w:sz w:val="22"/>
                <w:szCs w:val="22"/>
                <w:color w:val="auto"/>
                <w:w w:val="92"/>
              </w:rPr>
              <w:t>Transactions with Affiliates</w:t>
            </w:r>
          </w:p>
        </w:tc>
        <w:tc>
          <w:tcPr>
            <w:tcW w:w="860" w:type="dxa"/>
            <w:vAlign w:val="bottom"/>
          </w:tcPr>
          <w:p>
            <w:pPr>
              <w:jc w:val="right"/>
              <w:ind w:right="232"/>
              <w:spacing w:after="0"/>
              <w:rPr>
                <w:sz w:val="20"/>
                <w:szCs w:val="20"/>
                <w:color w:val="auto"/>
              </w:rPr>
            </w:pPr>
            <w:r>
              <w:rPr>
                <w:rFonts w:ascii="Arial" w:cs="Arial" w:eastAsia="Arial" w:hAnsi="Arial"/>
                <w:sz w:val="22"/>
                <w:szCs w:val="22"/>
                <w:color w:val="auto"/>
              </w:rPr>
              <w:t>125</w:t>
            </w: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6.10.</w:t>
            </w:r>
          </w:p>
        </w:tc>
        <w:tc>
          <w:tcPr>
            <w:tcW w:w="2220" w:type="dxa"/>
            <w:vAlign w:val="bottom"/>
            <w:gridSpan w:val="3"/>
          </w:tcPr>
          <w:p>
            <w:pPr>
              <w:ind w:left="120"/>
              <w:spacing w:after="0"/>
              <w:rPr>
                <w:sz w:val="20"/>
                <w:szCs w:val="20"/>
                <w:color w:val="auto"/>
              </w:rPr>
            </w:pPr>
            <w:r>
              <w:rPr>
                <w:rFonts w:ascii="Arial" w:cs="Arial" w:eastAsia="Arial" w:hAnsi="Arial"/>
                <w:sz w:val="22"/>
                <w:szCs w:val="22"/>
                <w:color w:val="auto"/>
                <w:w w:val="91"/>
              </w:rPr>
              <w:t>Restrictive Agreements</w:t>
            </w:r>
          </w:p>
        </w:tc>
        <w:tc>
          <w:tcPr>
            <w:tcW w:w="1180" w:type="dxa"/>
            <w:vAlign w:val="bottom"/>
            <w:gridSpan w:val="2"/>
          </w:tcPr>
          <w:p>
            <w:pPr>
              <w:ind w:left="140"/>
              <w:spacing w:after="0"/>
              <w:rPr>
                <w:sz w:val="20"/>
                <w:szCs w:val="20"/>
                <w:color w:val="auto"/>
              </w:rPr>
            </w:pPr>
            <w:r>
              <w:rPr>
                <w:rFonts w:ascii="Arial" w:cs="Arial" w:eastAsia="Arial" w:hAnsi="Arial"/>
                <w:sz w:val="22"/>
                <w:szCs w:val="22"/>
                <w:color w:val="auto"/>
              </w:rPr>
              <w:t>126</w:t>
            </w: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6.11.</w:t>
            </w:r>
          </w:p>
        </w:tc>
        <w:tc>
          <w:tcPr>
            <w:tcW w:w="3400" w:type="dxa"/>
            <w:vAlign w:val="bottom"/>
            <w:gridSpan w:val="5"/>
          </w:tcPr>
          <w:p>
            <w:pPr>
              <w:ind w:left="100"/>
              <w:spacing w:after="0"/>
              <w:rPr>
                <w:sz w:val="20"/>
                <w:szCs w:val="20"/>
                <w:color w:val="auto"/>
              </w:rPr>
            </w:pPr>
            <w:r>
              <w:rPr>
                <w:rFonts w:ascii="Arial" w:cs="Arial" w:eastAsia="Arial" w:hAnsi="Arial"/>
                <w:sz w:val="22"/>
                <w:szCs w:val="22"/>
                <w:color w:val="auto"/>
                <w:w w:val="95"/>
              </w:rPr>
              <w:t>Amendment of Material Documents</w:t>
            </w:r>
          </w:p>
        </w:tc>
        <w:tc>
          <w:tcPr>
            <w:tcW w:w="2140" w:type="dxa"/>
            <w:vAlign w:val="bottom"/>
          </w:tcPr>
          <w:p>
            <w:pPr>
              <w:jc w:val="right"/>
              <w:ind w:right="1652"/>
              <w:spacing w:after="0"/>
              <w:rPr>
                <w:sz w:val="20"/>
                <w:szCs w:val="20"/>
                <w:color w:val="auto"/>
              </w:rPr>
            </w:pPr>
            <w:r>
              <w:rPr>
                <w:rFonts w:ascii="Arial" w:cs="Arial" w:eastAsia="Arial" w:hAnsi="Arial"/>
                <w:sz w:val="22"/>
                <w:szCs w:val="22"/>
                <w:color w:val="auto"/>
                <w:w w:val="97"/>
              </w:rPr>
              <w:t>126</w:t>
            </w: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6.12.</w:t>
            </w:r>
          </w:p>
        </w:tc>
        <w:tc>
          <w:tcPr>
            <w:tcW w:w="2220" w:type="dxa"/>
            <w:vAlign w:val="bottom"/>
            <w:gridSpan w:val="3"/>
          </w:tcPr>
          <w:p>
            <w:pPr>
              <w:ind w:left="120"/>
              <w:spacing w:after="0"/>
              <w:rPr>
                <w:sz w:val="20"/>
                <w:szCs w:val="20"/>
                <w:color w:val="auto"/>
              </w:rPr>
            </w:pPr>
            <w:r>
              <w:rPr>
                <w:rFonts w:ascii="Arial" w:cs="Arial" w:eastAsia="Arial" w:hAnsi="Arial"/>
                <w:sz w:val="22"/>
                <w:szCs w:val="22"/>
                <w:color w:val="auto"/>
                <w:w w:val="89"/>
              </w:rPr>
              <w:t>Interest Coverage Ratio</w:t>
            </w:r>
          </w:p>
        </w:tc>
        <w:tc>
          <w:tcPr>
            <w:tcW w:w="1180" w:type="dxa"/>
            <w:vAlign w:val="bottom"/>
            <w:gridSpan w:val="2"/>
          </w:tcPr>
          <w:p>
            <w:pPr>
              <w:jc w:val="right"/>
              <w:ind w:right="592"/>
              <w:spacing w:after="0"/>
              <w:rPr>
                <w:sz w:val="20"/>
                <w:szCs w:val="20"/>
                <w:color w:val="auto"/>
              </w:rPr>
            </w:pPr>
            <w:r>
              <w:rPr>
                <w:rFonts w:ascii="Arial" w:cs="Arial" w:eastAsia="Arial" w:hAnsi="Arial"/>
                <w:sz w:val="22"/>
                <w:szCs w:val="22"/>
                <w:color w:val="auto"/>
              </w:rPr>
              <w:t>127</w:t>
            </w: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2"/>
                <w:szCs w:val="22"/>
                <w:color w:val="auto"/>
                <w:w w:val="96"/>
              </w:rPr>
              <w:t>SECTION 6.13.</w:t>
            </w:r>
          </w:p>
        </w:tc>
        <w:tc>
          <w:tcPr>
            <w:tcW w:w="2540" w:type="dxa"/>
            <w:vAlign w:val="bottom"/>
            <w:gridSpan w:val="4"/>
          </w:tcPr>
          <w:p>
            <w:pPr>
              <w:ind w:left="120"/>
              <w:spacing w:after="0"/>
              <w:rPr>
                <w:sz w:val="20"/>
                <w:szCs w:val="20"/>
                <w:color w:val="auto"/>
              </w:rPr>
            </w:pPr>
            <w:r>
              <w:rPr>
                <w:rFonts w:ascii="Arial" w:cs="Arial" w:eastAsia="Arial" w:hAnsi="Arial"/>
                <w:sz w:val="22"/>
                <w:szCs w:val="22"/>
                <w:color w:val="auto"/>
                <w:w w:val="94"/>
              </w:rPr>
              <w:t>Total Leverage Ratio  127</w:t>
            </w:r>
          </w:p>
        </w:tc>
        <w:tc>
          <w:tcPr>
            <w:tcW w:w="8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w w:val="96"/>
              </w:rPr>
              <w:t>SECTION 6.14.</w:t>
            </w:r>
          </w:p>
        </w:tc>
        <w:tc>
          <w:tcPr>
            <w:tcW w:w="2540" w:type="dxa"/>
            <w:vAlign w:val="bottom"/>
            <w:gridSpan w:val="4"/>
          </w:tcPr>
          <w:p>
            <w:pPr>
              <w:ind w:left="120"/>
              <w:spacing w:after="0"/>
              <w:rPr>
                <w:sz w:val="20"/>
                <w:szCs w:val="20"/>
                <w:color w:val="auto"/>
              </w:rPr>
            </w:pPr>
            <w:r>
              <w:rPr>
                <w:rFonts w:ascii="Arial" w:cs="Arial" w:eastAsia="Arial" w:hAnsi="Arial"/>
                <w:sz w:val="22"/>
                <w:szCs w:val="22"/>
                <w:color w:val="auto"/>
                <w:w w:val="97"/>
              </w:rPr>
              <w:t>First Lien Leverage Ratio</w:t>
            </w:r>
          </w:p>
        </w:tc>
        <w:tc>
          <w:tcPr>
            <w:tcW w:w="860" w:type="dxa"/>
            <w:vAlign w:val="bottom"/>
          </w:tcPr>
          <w:p>
            <w:pPr>
              <w:jc w:val="right"/>
              <w:ind w:right="412"/>
              <w:spacing w:after="0"/>
              <w:rPr>
                <w:sz w:val="20"/>
                <w:szCs w:val="20"/>
                <w:color w:val="auto"/>
              </w:rPr>
            </w:pPr>
            <w:r>
              <w:rPr>
                <w:rFonts w:ascii="Arial" w:cs="Arial" w:eastAsia="Arial" w:hAnsi="Arial"/>
                <w:sz w:val="22"/>
                <w:szCs w:val="22"/>
                <w:color w:val="auto"/>
                <w:w w:val="87"/>
              </w:rPr>
              <w:t>127</w:t>
            </w:r>
          </w:p>
        </w:tc>
        <w:tc>
          <w:tcPr>
            <w:tcW w:w="2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w w:val="96"/>
              </w:rPr>
              <w:t>SECTION 6.15.</w:t>
            </w:r>
          </w:p>
        </w:tc>
        <w:tc>
          <w:tcPr>
            <w:tcW w:w="2540" w:type="dxa"/>
            <w:vAlign w:val="bottom"/>
            <w:gridSpan w:val="4"/>
          </w:tcPr>
          <w:p>
            <w:pPr>
              <w:ind w:left="120"/>
              <w:spacing w:after="0"/>
              <w:rPr>
                <w:sz w:val="20"/>
                <w:szCs w:val="20"/>
                <w:color w:val="auto"/>
              </w:rPr>
            </w:pPr>
            <w:r>
              <w:rPr>
                <w:rFonts w:ascii="Arial" w:cs="Arial" w:eastAsia="Arial" w:hAnsi="Arial"/>
                <w:sz w:val="22"/>
                <w:szCs w:val="22"/>
                <w:color w:val="auto"/>
                <w:w w:val="93"/>
              </w:rPr>
              <w:t>Changes in Fiscal Periods</w:t>
            </w:r>
          </w:p>
        </w:tc>
        <w:tc>
          <w:tcPr>
            <w:tcW w:w="860" w:type="dxa"/>
            <w:vAlign w:val="bottom"/>
          </w:tcPr>
          <w:p>
            <w:pPr>
              <w:jc w:val="right"/>
              <w:ind w:right="392"/>
              <w:spacing w:after="0"/>
              <w:rPr>
                <w:sz w:val="20"/>
                <w:szCs w:val="20"/>
                <w:color w:val="auto"/>
              </w:rPr>
            </w:pPr>
            <w:r>
              <w:rPr>
                <w:rFonts w:ascii="Arial" w:cs="Arial" w:eastAsia="Arial" w:hAnsi="Arial"/>
                <w:sz w:val="22"/>
                <w:szCs w:val="22"/>
                <w:color w:val="auto"/>
                <w:w w:val="92"/>
              </w:rPr>
              <w:t>127</w:t>
            </w:r>
          </w:p>
        </w:tc>
        <w:tc>
          <w:tcPr>
            <w:tcW w:w="2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473"/>
        </w:trPr>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2"/>
          </w:tcPr>
          <w:p>
            <w:pPr>
              <w:jc w:val="center"/>
              <w:ind w:right="1032"/>
              <w:spacing w:after="0"/>
              <w:rPr>
                <w:sz w:val="20"/>
                <w:szCs w:val="20"/>
                <w:color w:val="auto"/>
              </w:rPr>
            </w:pPr>
            <w:r>
              <w:rPr>
                <w:rFonts w:ascii="Arial" w:cs="Arial" w:eastAsia="Arial" w:hAnsi="Arial"/>
                <w:sz w:val="22"/>
                <w:szCs w:val="22"/>
                <w:color w:val="auto"/>
              </w:rPr>
              <w:t>ARTICLE VII</w:t>
            </w:r>
          </w:p>
        </w:tc>
        <w:tc>
          <w:tcPr>
            <w:tcW w:w="540" w:type="dxa"/>
            <w:vAlign w:val="bottom"/>
          </w:tcPr>
          <w:p>
            <w:pPr>
              <w:spacing w:after="0"/>
              <w:rPr>
                <w:sz w:val="24"/>
                <w:szCs w:val="24"/>
                <w:color w:val="auto"/>
              </w:rPr>
            </w:pPr>
          </w:p>
        </w:tc>
      </w:tr>
      <w:tr>
        <w:trPr>
          <w:trHeight w:val="513"/>
        </w:trPr>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3"/>
          </w:tcPr>
          <w:p>
            <w:pPr>
              <w:jc w:val="center"/>
              <w:ind w:right="732"/>
              <w:spacing w:after="0"/>
              <w:rPr>
                <w:sz w:val="20"/>
                <w:szCs w:val="20"/>
                <w:color w:val="auto"/>
              </w:rPr>
            </w:pPr>
            <w:r>
              <w:rPr>
                <w:rFonts w:ascii="Arial" w:cs="Arial" w:eastAsia="Arial" w:hAnsi="Arial"/>
                <w:sz w:val="22"/>
                <w:szCs w:val="22"/>
                <w:color w:val="auto"/>
                <w:w w:val="93"/>
              </w:rPr>
              <w:t>EVENTS OF DEFAULT</w:t>
            </w:r>
          </w:p>
        </w:tc>
        <w:tc>
          <w:tcPr>
            <w:tcW w:w="540" w:type="dxa"/>
            <w:vAlign w:val="bottom"/>
          </w:tcPr>
          <w:p>
            <w:pPr>
              <w:spacing w:after="0"/>
              <w:rPr>
                <w:sz w:val="24"/>
                <w:szCs w:val="24"/>
                <w:color w:val="auto"/>
              </w:rPr>
            </w:pPr>
          </w:p>
        </w:tc>
      </w:tr>
      <w:tr>
        <w:trPr>
          <w:trHeight w:val="473"/>
        </w:trPr>
        <w:tc>
          <w:tcPr>
            <w:tcW w:w="1500" w:type="dxa"/>
            <w:vAlign w:val="bottom"/>
          </w:tcPr>
          <w:p>
            <w:pPr>
              <w:spacing w:after="0"/>
              <w:rPr>
                <w:sz w:val="20"/>
                <w:szCs w:val="20"/>
                <w:color w:val="auto"/>
              </w:rPr>
            </w:pPr>
            <w:r>
              <w:rPr>
                <w:rFonts w:ascii="Arial" w:cs="Arial" w:eastAsia="Arial" w:hAnsi="Arial"/>
                <w:sz w:val="22"/>
                <w:szCs w:val="22"/>
                <w:color w:val="auto"/>
                <w:w w:val="96"/>
              </w:rPr>
              <w:t>SECTION 7.01.</w:t>
            </w:r>
          </w:p>
        </w:tc>
        <w:tc>
          <w:tcPr>
            <w:tcW w:w="1820" w:type="dxa"/>
            <w:vAlign w:val="bottom"/>
            <w:gridSpan w:val="2"/>
          </w:tcPr>
          <w:p>
            <w:pPr>
              <w:ind w:left="120"/>
              <w:spacing w:after="0"/>
              <w:rPr>
                <w:sz w:val="20"/>
                <w:szCs w:val="20"/>
                <w:color w:val="auto"/>
              </w:rPr>
            </w:pPr>
            <w:r>
              <w:rPr>
                <w:rFonts w:ascii="Arial" w:cs="Arial" w:eastAsia="Arial" w:hAnsi="Arial"/>
                <w:sz w:val="22"/>
                <w:szCs w:val="22"/>
                <w:color w:val="auto"/>
              </w:rPr>
              <w:t>Events of Default</w:t>
            </w:r>
          </w:p>
        </w:tc>
        <w:tc>
          <w:tcPr>
            <w:tcW w:w="400" w:type="dxa"/>
            <w:vAlign w:val="bottom"/>
          </w:tcPr>
          <w:p>
            <w:pPr>
              <w:jc w:val="right"/>
              <w:spacing w:after="0"/>
              <w:rPr>
                <w:sz w:val="20"/>
                <w:szCs w:val="20"/>
                <w:color w:val="auto"/>
              </w:rPr>
            </w:pPr>
            <w:r>
              <w:rPr>
                <w:rFonts w:ascii="Arial" w:cs="Arial" w:eastAsia="Arial" w:hAnsi="Arial"/>
                <w:sz w:val="22"/>
                <w:szCs w:val="22"/>
                <w:color w:val="auto"/>
                <w:w w:val="92"/>
              </w:rPr>
              <w:t>127</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73"/>
        </w:trPr>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2"/>
          </w:tcPr>
          <w:p>
            <w:pPr>
              <w:jc w:val="center"/>
              <w:ind w:right="1052"/>
              <w:spacing w:after="0"/>
              <w:rPr>
                <w:sz w:val="20"/>
                <w:szCs w:val="20"/>
                <w:color w:val="auto"/>
              </w:rPr>
            </w:pPr>
            <w:r>
              <w:rPr>
                <w:rFonts w:ascii="Arial" w:cs="Arial" w:eastAsia="Arial" w:hAnsi="Arial"/>
                <w:sz w:val="22"/>
                <w:szCs w:val="22"/>
                <w:color w:val="auto"/>
                <w:w w:val="99"/>
              </w:rPr>
              <w:t>ARTICLE VIII</w:t>
            </w:r>
          </w:p>
        </w:tc>
        <w:tc>
          <w:tcPr>
            <w:tcW w:w="540" w:type="dxa"/>
            <w:vAlign w:val="bottom"/>
          </w:tcPr>
          <w:p>
            <w:pPr>
              <w:spacing w:after="0"/>
              <w:rPr>
                <w:sz w:val="24"/>
                <w:szCs w:val="24"/>
                <w:color w:val="auto"/>
              </w:rPr>
            </w:pPr>
          </w:p>
        </w:tc>
      </w:tr>
      <w:tr>
        <w:trPr>
          <w:trHeight w:val="513"/>
        </w:trPr>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gridSpan w:val="4"/>
          </w:tcPr>
          <w:p>
            <w:pPr>
              <w:jc w:val="center"/>
              <w:ind w:right="332"/>
              <w:spacing w:after="0"/>
              <w:rPr>
                <w:sz w:val="20"/>
                <w:szCs w:val="20"/>
                <w:color w:val="auto"/>
              </w:rPr>
            </w:pPr>
            <w:r>
              <w:rPr>
                <w:rFonts w:ascii="Arial" w:cs="Arial" w:eastAsia="Arial" w:hAnsi="Arial"/>
                <w:sz w:val="22"/>
                <w:szCs w:val="22"/>
                <w:color w:val="auto"/>
                <w:w w:val="97"/>
              </w:rPr>
              <w:t>THE ADMINISTRATIVE AGENT</w:t>
            </w:r>
          </w:p>
        </w:tc>
        <w:tc>
          <w:tcPr>
            <w:tcW w:w="540" w:type="dxa"/>
            <w:vAlign w:val="bottom"/>
          </w:tcPr>
          <w:p>
            <w:pPr>
              <w:spacing w:after="0"/>
              <w:rPr>
                <w:sz w:val="24"/>
                <w:szCs w:val="24"/>
                <w:color w:val="auto"/>
              </w:rPr>
            </w:pPr>
          </w:p>
        </w:tc>
      </w:tr>
      <w:tr>
        <w:trPr>
          <w:trHeight w:val="455"/>
        </w:trPr>
        <w:tc>
          <w:tcPr>
            <w:tcW w:w="1500" w:type="dxa"/>
            <w:vAlign w:val="bottom"/>
          </w:tcPr>
          <w:p>
            <w:pPr>
              <w:spacing w:after="0"/>
              <w:rPr>
                <w:sz w:val="20"/>
                <w:szCs w:val="20"/>
                <w:color w:val="auto"/>
              </w:rPr>
            </w:pPr>
            <w:r>
              <w:rPr>
                <w:rFonts w:ascii="Arial" w:cs="Arial" w:eastAsia="Arial" w:hAnsi="Arial"/>
                <w:sz w:val="22"/>
                <w:szCs w:val="22"/>
                <w:color w:val="auto"/>
                <w:w w:val="96"/>
              </w:rPr>
              <w:t>SECTION 8.01.</w:t>
            </w:r>
          </w:p>
        </w:tc>
        <w:tc>
          <w:tcPr>
            <w:tcW w:w="3400" w:type="dxa"/>
            <w:vAlign w:val="bottom"/>
            <w:gridSpan w:val="5"/>
          </w:tcPr>
          <w:p>
            <w:pPr>
              <w:ind w:left="120"/>
              <w:spacing w:after="0"/>
              <w:rPr>
                <w:sz w:val="20"/>
                <w:szCs w:val="20"/>
                <w:color w:val="auto"/>
              </w:rPr>
            </w:pPr>
            <w:r>
              <w:rPr>
                <w:rFonts w:ascii="Arial" w:cs="Arial" w:eastAsia="Arial" w:hAnsi="Arial"/>
                <w:sz w:val="22"/>
                <w:szCs w:val="22"/>
                <w:color w:val="auto"/>
                <w:w w:val="98"/>
              </w:rPr>
              <w:t>Administrative Agent Matters  130</w:t>
            </w:r>
          </w:p>
        </w:tc>
        <w:tc>
          <w:tcPr>
            <w:tcW w:w="2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w w:val="96"/>
              </w:rPr>
              <w:t>SECTION 8.02.</w:t>
            </w:r>
          </w:p>
        </w:tc>
        <w:tc>
          <w:tcPr>
            <w:tcW w:w="2220" w:type="dxa"/>
            <w:vAlign w:val="bottom"/>
            <w:gridSpan w:val="3"/>
          </w:tcPr>
          <w:p>
            <w:pPr>
              <w:ind w:left="120"/>
              <w:spacing w:after="0"/>
              <w:rPr>
                <w:sz w:val="20"/>
                <w:szCs w:val="20"/>
                <w:color w:val="auto"/>
              </w:rPr>
            </w:pPr>
            <w:r>
              <w:rPr>
                <w:rFonts w:ascii="Arial" w:cs="Arial" w:eastAsia="Arial" w:hAnsi="Arial"/>
                <w:sz w:val="22"/>
                <w:szCs w:val="22"/>
                <w:color w:val="auto"/>
                <w:w w:val="93"/>
              </w:rPr>
              <w:t>Certain ERISA Matters</w:t>
            </w:r>
          </w:p>
        </w:tc>
        <w:tc>
          <w:tcPr>
            <w:tcW w:w="1180" w:type="dxa"/>
            <w:vAlign w:val="bottom"/>
            <w:gridSpan w:val="2"/>
          </w:tcPr>
          <w:p>
            <w:pPr>
              <w:ind w:left="140"/>
              <w:spacing w:after="0"/>
              <w:rPr>
                <w:sz w:val="20"/>
                <w:szCs w:val="20"/>
                <w:color w:val="auto"/>
              </w:rPr>
            </w:pPr>
            <w:r>
              <w:rPr>
                <w:rFonts w:ascii="Arial" w:cs="Arial" w:eastAsia="Arial" w:hAnsi="Arial"/>
                <w:sz w:val="22"/>
                <w:szCs w:val="22"/>
                <w:color w:val="auto"/>
              </w:rPr>
              <w:t>138</w:t>
            </w:r>
          </w:p>
        </w:tc>
        <w:tc>
          <w:tcPr>
            <w:tcW w:w="214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9479"/>
          </w:cols>
          <w:pgMar w:left="980" w:top="1428" w:right="1440" w:bottom="1440" w:gutter="0" w:footer="0" w:header="0"/>
        </w:sectPr>
      </w:pPr>
    </w:p>
    <w:bookmarkStart w:id="75" w:name="page76"/>
    <w:bookmarkEnd w:id="75"/>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0" w:type="dxa"/>
            <w:vAlign w:val="bottom"/>
          </w:tcPr>
          <w:p>
            <w:pPr>
              <w:jc w:val="right"/>
              <w:ind w:right="3052"/>
              <w:spacing w:after="0"/>
              <w:rPr>
                <w:sz w:val="20"/>
                <w:szCs w:val="20"/>
                <w:color w:val="auto"/>
              </w:rPr>
            </w:pPr>
            <w:r>
              <w:rPr>
                <w:rFonts w:ascii="Arial" w:cs="Arial" w:eastAsia="Arial" w:hAnsi="Arial"/>
                <w:sz w:val="22"/>
                <w:szCs w:val="22"/>
                <w:color w:val="auto"/>
              </w:rPr>
              <w:t>ARTICLE IX</w:t>
            </w:r>
          </w:p>
        </w:tc>
      </w:tr>
      <w:tr>
        <w:trPr>
          <w:trHeight w:val="513"/>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gridSpan w:val="2"/>
          </w:tcPr>
          <w:p>
            <w:pPr>
              <w:jc w:val="right"/>
              <w:ind w:right="2752"/>
              <w:spacing w:after="0"/>
              <w:rPr>
                <w:sz w:val="20"/>
                <w:szCs w:val="20"/>
                <w:color w:val="auto"/>
              </w:rPr>
            </w:pPr>
            <w:r>
              <w:rPr>
                <w:rFonts w:ascii="Arial" w:cs="Arial" w:eastAsia="Arial" w:hAnsi="Arial"/>
                <w:sz w:val="22"/>
                <w:szCs w:val="22"/>
                <w:color w:val="auto"/>
              </w:rPr>
              <w:t>MISCELLANEOUS</w:t>
            </w:r>
          </w:p>
        </w:tc>
      </w:tr>
      <w:tr>
        <w:trPr>
          <w:trHeight w:val="455"/>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9.01.</w:t>
            </w:r>
          </w:p>
        </w:tc>
        <w:tc>
          <w:tcPr>
            <w:tcW w:w="1000" w:type="dxa"/>
            <w:vAlign w:val="bottom"/>
          </w:tcPr>
          <w:p>
            <w:pPr>
              <w:ind w:left="160"/>
              <w:spacing w:after="0"/>
              <w:rPr>
                <w:sz w:val="20"/>
                <w:szCs w:val="20"/>
                <w:color w:val="auto"/>
              </w:rPr>
            </w:pPr>
            <w:r>
              <w:rPr>
                <w:rFonts w:ascii="Arial" w:cs="Arial" w:eastAsia="Arial" w:hAnsi="Arial"/>
                <w:sz w:val="22"/>
                <w:szCs w:val="22"/>
                <w:color w:val="auto"/>
              </w:rPr>
              <w:t>Notices</w:t>
            </w:r>
          </w:p>
        </w:tc>
        <w:tc>
          <w:tcPr>
            <w:tcW w:w="660" w:type="dxa"/>
            <w:vAlign w:val="bottom"/>
          </w:tcPr>
          <w:p>
            <w:pPr>
              <w:jc w:val="right"/>
              <w:ind w:right="192"/>
              <w:spacing w:after="0"/>
              <w:rPr>
                <w:sz w:val="20"/>
                <w:szCs w:val="20"/>
                <w:color w:val="auto"/>
              </w:rPr>
            </w:pPr>
            <w:r>
              <w:rPr>
                <w:rFonts w:ascii="Arial" w:cs="Arial" w:eastAsia="Arial" w:hAnsi="Arial"/>
                <w:sz w:val="22"/>
                <w:szCs w:val="22"/>
                <w:color w:val="auto"/>
                <w:w w:val="92"/>
              </w:rPr>
              <w:t>140</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9.02.</w:t>
            </w:r>
          </w:p>
        </w:tc>
        <w:tc>
          <w:tcPr>
            <w:tcW w:w="2320" w:type="dxa"/>
            <w:vAlign w:val="bottom"/>
            <w:gridSpan w:val="3"/>
          </w:tcPr>
          <w:p>
            <w:pPr>
              <w:ind w:left="160"/>
              <w:spacing w:after="0"/>
              <w:rPr>
                <w:sz w:val="20"/>
                <w:szCs w:val="20"/>
                <w:color w:val="auto"/>
              </w:rPr>
            </w:pPr>
            <w:r>
              <w:rPr>
                <w:rFonts w:ascii="Arial" w:cs="Arial" w:eastAsia="Arial" w:hAnsi="Arial"/>
                <w:sz w:val="22"/>
                <w:szCs w:val="22"/>
                <w:color w:val="auto"/>
                <w:w w:val="96"/>
              </w:rPr>
              <w:t>Waivers; Amendments</w:t>
            </w:r>
          </w:p>
        </w:tc>
        <w:tc>
          <w:tcPr>
            <w:tcW w:w="340" w:type="dxa"/>
            <w:vAlign w:val="bottom"/>
          </w:tcPr>
          <w:p>
            <w:pPr>
              <w:jc w:val="right"/>
              <w:spacing w:after="0"/>
              <w:rPr>
                <w:sz w:val="20"/>
                <w:szCs w:val="20"/>
                <w:color w:val="auto"/>
              </w:rPr>
            </w:pPr>
            <w:r>
              <w:rPr>
                <w:rFonts w:ascii="Arial" w:cs="Arial" w:eastAsia="Arial" w:hAnsi="Arial"/>
                <w:sz w:val="22"/>
                <w:szCs w:val="22"/>
                <w:color w:val="auto"/>
                <w:w w:val="87"/>
              </w:rPr>
              <w:t>142</w:t>
            </w:r>
          </w:p>
        </w:tc>
        <w:tc>
          <w:tcPr>
            <w:tcW w:w="4600" w:type="dxa"/>
            <w:vAlign w:val="bottom"/>
          </w:tcPr>
          <w:p>
            <w:pPr>
              <w:spacing w:after="0"/>
              <w:rPr>
                <w:sz w:val="22"/>
                <w:szCs w:val="22"/>
                <w:color w:val="auto"/>
              </w:rPr>
            </w:pP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9.03.</w:t>
            </w:r>
          </w:p>
        </w:tc>
        <w:tc>
          <w:tcPr>
            <w:tcW w:w="7260" w:type="dxa"/>
            <w:vAlign w:val="bottom"/>
            <w:gridSpan w:val="5"/>
          </w:tcPr>
          <w:p>
            <w:pPr>
              <w:ind w:left="160"/>
              <w:spacing w:after="0"/>
              <w:rPr>
                <w:sz w:val="20"/>
                <w:szCs w:val="20"/>
                <w:color w:val="auto"/>
              </w:rPr>
            </w:pPr>
            <w:r>
              <w:rPr>
                <w:rFonts w:ascii="Arial" w:cs="Arial" w:eastAsia="Arial" w:hAnsi="Arial"/>
                <w:sz w:val="22"/>
                <w:szCs w:val="22"/>
                <w:color w:val="auto"/>
              </w:rPr>
              <w:t>Expenses; Limitation of Liability; Indemnity, Etc  144</w:t>
            </w:r>
          </w:p>
        </w:tc>
      </w:tr>
      <w:tr>
        <w:trPr>
          <w:trHeight w:val="256"/>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9.04.</w:t>
            </w:r>
          </w:p>
        </w:tc>
        <w:tc>
          <w:tcPr>
            <w:tcW w:w="2320" w:type="dxa"/>
            <w:vAlign w:val="bottom"/>
            <w:gridSpan w:val="3"/>
          </w:tcPr>
          <w:p>
            <w:pPr>
              <w:ind w:left="160"/>
              <w:spacing w:after="0"/>
              <w:rPr>
                <w:sz w:val="20"/>
                <w:szCs w:val="20"/>
                <w:color w:val="auto"/>
              </w:rPr>
            </w:pPr>
            <w:r>
              <w:rPr>
                <w:rFonts w:ascii="Arial" w:cs="Arial" w:eastAsia="Arial" w:hAnsi="Arial"/>
                <w:sz w:val="22"/>
                <w:szCs w:val="22"/>
                <w:color w:val="auto"/>
                <w:w w:val="89"/>
              </w:rPr>
              <w:t>Successors and Assigns</w:t>
            </w:r>
          </w:p>
        </w:tc>
        <w:tc>
          <w:tcPr>
            <w:tcW w:w="4940" w:type="dxa"/>
            <w:vAlign w:val="bottom"/>
            <w:gridSpan w:val="2"/>
          </w:tcPr>
          <w:p>
            <w:pPr>
              <w:jc w:val="right"/>
              <w:ind w:right="4412"/>
              <w:spacing w:after="0"/>
              <w:rPr>
                <w:sz w:val="20"/>
                <w:szCs w:val="20"/>
                <w:color w:val="auto"/>
              </w:rPr>
            </w:pPr>
            <w:r>
              <w:rPr>
                <w:rFonts w:ascii="Arial" w:cs="Arial" w:eastAsia="Arial" w:hAnsi="Arial"/>
                <w:sz w:val="22"/>
                <w:szCs w:val="22"/>
                <w:color w:val="auto"/>
              </w:rPr>
              <w:t>146</w:t>
            </w: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9.05.</w:t>
            </w:r>
          </w:p>
        </w:tc>
        <w:tc>
          <w:tcPr>
            <w:tcW w:w="1000" w:type="dxa"/>
            <w:vAlign w:val="bottom"/>
          </w:tcPr>
          <w:p>
            <w:pPr>
              <w:ind w:left="160"/>
              <w:spacing w:after="0"/>
              <w:rPr>
                <w:sz w:val="20"/>
                <w:szCs w:val="20"/>
                <w:color w:val="auto"/>
              </w:rPr>
            </w:pPr>
            <w:r>
              <w:rPr>
                <w:rFonts w:ascii="Arial" w:cs="Arial" w:eastAsia="Arial" w:hAnsi="Arial"/>
                <w:sz w:val="22"/>
                <w:szCs w:val="22"/>
                <w:color w:val="auto"/>
              </w:rPr>
              <w:t>Survival</w:t>
            </w:r>
          </w:p>
        </w:tc>
        <w:tc>
          <w:tcPr>
            <w:tcW w:w="660" w:type="dxa"/>
            <w:vAlign w:val="bottom"/>
          </w:tcPr>
          <w:p>
            <w:pPr>
              <w:jc w:val="right"/>
              <w:ind w:right="132"/>
              <w:spacing w:after="0"/>
              <w:rPr>
                <w:sz w:val="20"/>
                <w:szCs w:val="20"/>
                <w:color w:val="auto"/>
              </w:rPr>
            </w:pPr>
            <w:r>
              <w:rPr>
                <w:rFonts w:ascii="Arial" w:cs="Arial" w:eastAsia="Arial" w:hAnsi="Arial"/>
                <w:sz w:val="22"/>
                <w:szCs w:val="22"/>
                <w:color w:val="auto"/>
              </w:rPr>
              <w:t>151</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9.06.</w:t>
            </w:r>
          </w:p>
        </w:tc>
        <w:tc>
          <w:tcPr>
            <w:tcW w:w="7260" w:type="dxa"/>
            <w:vAlign w:val="bottom"/>
            <w:gridSpan w:val="5"/>
          </w:tcPr>
          <w:p>
            <w:pPr>
              <w:ind w:left="160"/>
              <w:spacing w:after="0"/>
              <w:rPr>
                <w:sz w:val="20"/>
                <w:szCs w:val="20"/>
                <w:color w:val="auto"/>
              </w:rPr>
            </w:pPr>
            <w:r>
              <w:rPr>
                <w:rFonts w:ascii="Arial" w:cs="Arial" w:eastAsia="Arial" w:hAnsi="Arial"/>
                <w:sz w:val="22"/>
                <w:szCs w:val="22"/>
                <w:color w:val="auto"/>
              </w:rPr>
              <w:t>Counterparts; Integration; Effectiveness  152</w:t>
            </w: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9.07.</w:t>
            </w:r>
          </w:p>
        </w:tc>
        <w:tc>
          <w:tcPr>
            <w:tcW w:w="2320" w:type="dxa"/>
            <w:vAlign w:val="bottom"/>
            <w:gridSpan w:val="3"/>
          </w:tcPr>
          <w:p>
            <w:pPr>
              <w:ind w:left="160"/>
              <w:spacing w:after="0"/>
              <w:rPr>
                <w:sz w:val="20"/>
                <w:szCs w:val="20"/>
                <w:color w:val="auto"/>
              </w:rPr>
            </w:pPr>
            <w:r>
              <w:rPr>
                <w:rFonts w:ascii="Arial" w:cs="Arial" w:eastAsia="Arial" w:hAnsi="Arial"/>
                <w:sz w:val="22"/>
                <w:szCs w:val="22"/>
                <w:color w:val="auto"/>
              </w:rPr>
              <w:t>Severability  153</w:t>
            </w: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6"/>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9.08.</w:t>
            </w:r>
          </w:p>
        </w:tc>
        <w:tc>
          <w:tcPr>
            <w:tcW w:w="1660" w:type="dxa"/>
            <w:vAlign w:val="bottom"/>
            <w:gridSpan w:val="2"/>
          </w:tcPr>
          <w:p>
            <w:pPr>
              <w:ind w:left="160"/>
              <w:spacing w:after="0"/>
              <w:rPr>
                <w:sz w:val="20"/>
                <w:szCs w:val="20"/>
                <w:color w:val="auto"/>
              </w:rPr>
            </w:pPr>
            <w:r>
              <w:rPr>
                <w:rFonts w:ascii="Arial" w:cs="Arial" w:eastAsia="Arial" w:hAnsi="Arial"/>
                <w:sz w:val="22"/>
                <w:szCs w:val="22"/>
                <w:color w:val="auto"/>
              </w:rPr>
              <w:t>Right of Setoff</w:t>
            </w:r>
          </w:p>
        </w:tc>
        <w:tc>
          <w:tcPr>
            <w:tcW w:w="660" w:type="dxa"/>
            <w:vAlign w:val="bottom"/>
          </w:tcPr>
          <w:p>
            <w:pPr>
              <w:jc w:val="right"/>
              <w:ind w:right="232"/>
              <w:spacing w:after="0"/>
              <w:rPr>
                <w:sz w:val="20"/>
                <w:szCs w:val="20"/>
                <w:color w:val="auto"/>
              </w:rPr>
            </w:pPr>
            <w:r>
              <w:rPr>
                <w:rFonts w:ascii="Arial" w:cs="Arial" w:eastAsia="Arial" w:hAnsi="Arial"/>
                <w:sz w:val="22"/>
                <w:szCs w:val="22"/>
                <w:color w:val="auto"/>
                <w:w w:val="81"/>
              </w:rPr>
              <w:t>153</w:t>
            </w: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9.09.</w:t>
            </w:r>
          </w:p>
        </w:tc>
        <w:tc>
          <w:tcPr>
            <w:tcW w:w="7260" w:type="dxa"/>
            <w:vAlign w:val="bottom"/>
            <w:gridSpan w:val="5"/>
          </w:tcPr>
          <w:p>
            <w:pPr>
              <w:ind w:left="160"/>
              <w:spacing w:after="0"/>
              <w:rPr>
                <w:sz w:val="20"/>
                <w:szCs w:val="20"/>
                <w:color w:val="auto"/>
              </w:rPr>
            </w:pPr>
            <w:r>
              <w:rPr>
                <w:rFonts w:ascii="Arial" w:cs="Arial" w:eastAsia="Arial" w:hAnsi="Arial"/>
                <w:sz w:val="22"/>
                <w:szCs w:val="22"/>
                <w:color w:val="auto"/>
              </w:rPr>
              <w:t>Governing Law; Jurisdiction; Consent to Service of Process  154</w:t>
            </w: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9.10.</w:t>
            </w:r>
          </w:p>
        </w:tc>
        <w:tc>
          <w:tcPr>
            <w:tcW w:w="2660" w:type="dxa"/>
            <w:vAlign w:val="bottom"/>
            <w:gridSpan w:val="4"/>
          </w:tcPr>
          <w:p>
            <w:pPr>
              <w:ind w:left="160"/>
              <w:spacing w:after="0"/>
              <w:rPr>
                <w:sz w:val="20"/>
                <w:szCs w:val="20"/>
                <w:color w:val="auto"/>
              </w:rPr>
            </w:pPr>
            <w:r>
              <w:rPr>
                <w:rFonts w:ascii="Arial" w:cs="Arial" w:eastAsia="Arial" w:hAnsi="Arial"/>
                <w:sz w:val="22"/>
                <w:szCs w:val="22"/>
                <w:color w:val="auto"/>
                <w:w w:val="97"/>
              </w:rPr>
              <w:t>WAIVER OF JURY TRIAL</w:t>
            </w:r>
          </w:p>
        </w:tc>
        <w:tc>
          <w:tcPr>
            <w:tcW w:w="4600" w:type="dxa"/>
            <w:vAlign w:val="bottom"/>
          </w:tcPr>
          <w:p>
            <w:pPr>
              <w:jc w:val="right"/>
              <w:ind w:right="4032"/>
              <w:spacing w:after="0"/>
              <w:rPr>
                <w:sz w:val="20"/>
                <w:szCs w:val="20"/>
                <w:color w:val="auto"/>
              </w:rPr>
            </w:pPr>
            <w:r>
              <w:rPr>
                <w:rFonts w:ascii="Arial" w:cs="Arial" w:eastAsia="Arial" w:hAnsi="Arial"/>
                <w:sz w:val="22"/>
                <w:szCs w:val="22"/>
                <w:color w:val="auto"/>
              </w:rPr>
              <w:t>155</w:t>
            </w: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9.11.</w:t>
            </w:r>
          </w:p>
        </w:tc>
        <w:tc>
          <w:tcPr>
            <w:tcW w:w="1000" w:type="dxa"/>
            <w:vAlign w:val="bottom"/>
          </w:tcPr>
          <w:p>
            <w:pPr>
              <w:ind w:left="140"/>
              <w:spacing w:after="0"/>
              <w:rPr>
                <w:sz w:val="20"/>
                <w:szCs w:val="20"/>
                <w:color w:val="auto"/>
              </w:rPr>
            </w:pPr>
            <w:r>
              <w:rPr>
                <w:rFonts w:ascii="Arial" w:cs="Arial" w:eastAsia="Arial" w:hAnsi="Arial"/>
                <w:sz w:val="22"/>
                <w:szCs w:val="22"/>
                <w:color w:val="auto"/>
                <w:w w:val="90"/>
              </w:rPr>
              <w:t>Headings</w:t>
            </w:r>
          </w:p>
        </w:tc>
        <w:tc>
          <w:tcPr>
            <w:tcW w:w="660" w:type="dxa"/>
            <w:vAlign w:val="bottom"/>
          </w:tcPr>
          <w:p>
            <w:pPr>
              <w:jc w:val="right"/>
              <w:ind w:right="52"/>
              <w:spacing w:after="0"/>
              <w:rPr>
                <w:sz w:val="20"/>
                <w:szCs w:val="20"/>
                <w:color w:val="auto"/>
              </w:rPr>
            </w:pPr>
            <w:r>
              <w:rPr>
                <w:rFonts w:ascii="Arial" w:cs="Arial" w:eastAsia="Arial" w:hAnsi="Arial"/>
                <w:sz w:val="22"/>
                <w:szCs w:val="22"/>
                <w:color w:val="auto"/>
              </w:rPr>
              <w:t>155</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6"/>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9.12.</w:t>
            </w:r>
          </w:p>
        </w:tc>
        <w:tc>
          <w:tcPr>
            <w:tcW w:w="1660" w:type="dxa"/>
            <w:vAlign w:val="bottom"/>
            <w:gridSpan w:val="2"/>
          </w:tcPr>
          <w:p>
            <w:pPr>
              <w:ind w:left="160"/>
              <w:spacing w:after="0"/>
              <w:rPr>
                <w:sz w:val="20"/>
                <w:szCs w:val="20"/>
                <w:color w:val="auto"/>
              </w:rPr>
            </w:pPr>
            <w:r>
              <w:rPr>
                <w:rFonts w:ascii="Arial" w:cs="Arial" w:eastAsia="Arial" w:hAnsi="Arial"/>
                <w:sz w:val="22"/>
                <w:szCs w:val="22"/>
                <w:color w:val="auto"/>
              </w:rPr>
              <w:t>Confidentiality</w:t>
            </w:r>
          </w:p>
        </w:tc>
        <w:tc>
          <w:tcPr>
            <w:tcW w:w="660" w:type="dxa"/>
            <w:vAlign w:val="bottom"/>
          </w:tcPr>
          <w:p>
            <w:pPr>
              <w:jc w:val="right"/>
              <w:ind w:right="212"/>
              <w:spacing w:after="0"/>
              <w:rPr>
                <w:sz w:val="20"/>
                <w:szCs w:val="20"/>
                <w:color w:val="auto"/>
              </w:rPr>
            </w:pPr>
            <w:r>
              <w:rPr>
                <w:rFonts w:ascii="Arial" w:cs="Arial" w:eastAsia="Arial" w:hAnsi="Arial"/>
                <w:sz w:val="22"/>
                <w:szCs w:val="22"/>
                <w:color w:val="auto"/>
                <w:w w:val="87"/>
              </w:rPr>
              <w:t>155</w:t>
            </w: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9.13.</w:t>
            </w:r>
          </w:p>
        </w:tc>
        <w:tc>
          <w:tcPr>
            <w:tcW w:w="2320" w:type="dxa"/>
            <w:vAlign w:val="bottom"/>
            <w:gridSpan w:val="3"/>
          </w:tcPr>
          <w:p>
            <w:pPr>
              <w:ind w:left="160"/>
              <w:spacing w:after="0"/>
              <w:rPr>
                <w:sz w:val="20"/>
                <w:szCs w:val="20"/>
                <w:color w:val="auto"/>
              </w:rPr>
            </w:pPr>
            <w:r>
              <w:rPr>
                <w:rFonts w:ascii="Arial" w:cs="Arial" w:eastAsia="Arial" w:hAnsi="Arial"/>
                <w:sz w:val="22"/>
                <w:szCs w:val="22"/>
                <w:color w:val="auto"/>
                <w:w w:val="94"/>
              </w:rPr>
              <w:t>Interest Rate Limitation</w:t>
            </w:r>
          </w:p>
        </w:tc>
        <w:tc>
          <w:tcPr>
            <w:tcW w:w="4940" w:type="dxa"/>
            <w:vAlign w:val="bottom"/>
            <w:gridSpan w:val="2"/>
          </w:tcPr>
          <w:p>
            <w:pPr>
              <w:jc w:val="right"/>
              <w:ind w:right="4392"/>
              <w:spacing w:after="0"/>
              <w:rPr>
                <w:sz w:val="20"/>
                <w:szCs w:val="20"/>
                <w:color w:val="auto"/>
              </w:rPr>
            </w:pPr>
            <w:r>
              <w:rPr>
                <w:rFonts w:ascii="Arial" w:cs="Arial" w:eastAsia="Arial" w:hAnsi="Arial"/>
                <w:sz w:val="22"/>
                <w:szCs w:val="22"/>
                <w:color w:val="auto"/>
              </w:rPr>
              <w:t>156</w:t>
            </w: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9.14.</w:t>
            </w:r>
          </w:p>
        </w:tc>
        <w:tc>
          <w:tcPr>
            <w:tcW w:w="7260" w:type="dxa"/>
            <w:vAlign w:val="bottom"/>
            <w:gridSpan w:val="5"/>
          </w:tcPr>
          <w:p>
            <w:pPr>
              <w:ind w:left="160"/>
              <w:spacing w:after="0"/>
              <w:rPr>
                <w:sz w:val="20"/>
                <w:szCs w:val="20"/>
                <w:color w:val="auto"/>
              </w:rPr>
            </w:pPr>
            <w:r>
              <w:rPr>
                <w:rFonts w:ascii="Arial" w:cs="Arial" w:eastAsia="Arial" w:hAnsi="Arial"/>
                <w:sz w:val="22"/>
                <w:szCs w:val="22"/>
                <w:color w:val="auto"/>
              </w:rPr>
              <w:t>Release of Liens and Guarantees  156</w:t>
            </w: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9.15.</w:t>
            </w:r>
          </w:p>
        </w:tc>
        <w:tc>
          <w:tcPr>
            <w:tcW w:w="2660" w:type="dxa"/>
            <w:vAlign w:val="bottom"/>
            <w:gridSpan w:val="4"/>
          </w:tcPr>
          <w:p>
            <w:pPr>
              <w:ind w:left="160"/>
              <w:spacing w:after="0"/>
              <w:rPr>
                <w:sz w:val="20"/>
                <w:szCs w:val="20"/>
                <w:color w:val="auto"/>
              </w:rPr>
            </w:pPr>
            <w:r>
              <w:rPr>
                <w:rFonts w:ascii="Arial" w:cs="Arial" w:eastAsia="Arial" w:hAnsi="Arial"/>
                <w:sz w:val="22"/>
                <w:szCs w:val="22"/>
                <w:color w:val="auto"/>
                <w:w w:val="97"/>
              </w:rPr>
              <w:t>USA PATRIOT Act Notice</w:t>
            </w:r>
          </w:p>
        </w:tc>
        <w:tc>
          <w:tcPr>
            <w:tcW w:w="4600" w:type="dxa"/>
            <w:vAlign w:val="bottom"/>
          </w:tcPr>
          <w:p>
            <w:pPr>
              <w:jc w:val="right"/>
              <w:ind w:right="4112"/>
              <w:spacing w:after="0"/>
              <w:rPr>
                <w:sz w:val="20"/>
                <w:szCs w:val="20"/>
                <w:color w:val="auto"/>
              </w:rPr>
            </w:pPr>
            <w:r>
              <w:rPr>
                <w:rFonts w:ascii="Arial" w:cs="Arial" w:eastAsia="Arial" w:hAnsi="Arial"/>
                <w:sz w:val="22"/>
                <w:szCs w:val="22"/>
                <w:color w:val="auto"/>
                <w:w w:val="97"/>
              </w:rPr>
              <w:t>157</w:t>
            </w: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9.16.</w:t>
            </w:r>
          </w:p>
        </w:tc>
        <w:tc>
          <w:tcPr>
            <w:tcW w:w="2660" w:type="dxa"/>
            <w:vAlign w:val="bottom"/>
            <w:gridSpan w:val="4"/>
          </w:tcPr>
          <w:p>
            <w:pPr>
              <w:ind w:left="160"/>
              <w:spacing w:after="0"/>
              <w:rPr>
                <w:sz w:val="20"/>
                <w:szCs w:val="20"/>
                <w:color w:val="auto"/>
              </w:rPr>
            </w:pPr>
            <w:r>
              <w:rPr>
                <w:rFonts w:ascii="Arial" w:cs="Arial" w:eastAsia="Arial" w:hAnsi="Arial"/>
                <w:sz w:val="22"/>
                <w:szCs w:val="22"/>
                <w:color w:val="auto"/>
                <w:w w:val="98"/>
              </w:rPr>
              <w:t>No Fiduciary Relationship</w:t>
            </w:r>
          </w:p>
        </w:tc>
        <w:tc>
          <w:tcPr>
            <w:tcW w:w="4600" w:type="dxa"/>
            <w:vAlign w:val="bottom"/>
          </w:tcPr>
          <w:p>
            <w:pPr>
              <w:jc w:val="right"/>
              <w:ind w:right="4172"/>
              <w:spacing w:after="0"/>
              <w:rPr>
                <w:sz w:val="20"/>
                <w:szCs w:val="20"/>
                <w:color w:val="auto"/>
              </w:rPr>
            </w:pPr>
            <w:r>
              <w:rPr>
                <w:rFonts w:ascii="Arial" w:cs="Arial" w:eastAsia="Arial" w:hAnsi="Arial"/>
                <w:sz w:val="22"/>
                <w:szCs w:val="22"/>
                <w:color w:val="auto"/>
                <w:w w:val="81"/>
              </w:rPr>
              <w:t>157</w:t>
            </w: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9.17.</w:t>
            </w:r>
          </w:p>
        </w:tc>
        <w:tc>
          <w:tcPr>
            <w:tcW w:w="2320" w:type="dxa"/>
            <w:vAlign w:val="bottom"/>
            <w:gridSpan w:val="3"/>
          </w:tcPr>
          <w:p>
            <w:pPr>
              <w:ind w:left="160"/>
              <w:spacing w:after="0"/>
              <w:rPr>
                <w:sz w:val="20"/>
                <w:szCs w:val="20"/>
                <w:color w:val="auto"/>
              </w:rPr>
            </w:pPr>
            <w:r>
              <w:rPr>
                <w:rFonts w:ascii="Arial" w:cs="Arial" w:eastAsia="Arial" w:hAnsi="Arial"/>
                <w:sz w:val="22"/>
                <w:szCs w:val="22"/>
                <w:color w:val="auto"/>
                <w:w w:val="95"/>
              </w:rPr>
              <w:t>Non-Public Information</w:t>
            </w:r>
          </w:p>
        </w:tc>
        <w:tc>
          <w:tcPr>
            <w:tcW w:w="4940" w:type="dxa"/>
            <w:vAlign w:val="bottom"/>
            <w:gridSpan w:val="2"/>
          </w:tcPr>
          <w:p>
            <w:pPr>
              <w:jc w:val="right"/>
              <w:ind w:right="4372"/>
              <w:spacing w:after="0"/>
              <w:rPr>
                <w:sz w:val="20"/>
                <w:szCs w:val="20"/>
                <w:color w:val="auto"/>
              </w:rPr>
            </w:pPr>
            <w:r>
              <w:rPr>
                <w:rFonts w:ascii="Arial" w:cs="Arial" w:eastAsia="Arial" w:hAnsi="Arial"/>
                <w:sz w:val="22"/>
                <w:szCs w:val="22"/>
                <w:color w:val="auto"/>
              </w:rPr>
              <w:t>158</w:t>
            </w:r>
          </w:p>
        </w:tc>
      </w:tr>
      <w:tr>
        <w:trPr>
          <w:trHeight w:val="256"/>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9.18.</w:t>
            </w:r>
          </w:p>
        </w:tc>
        <w:tc>
          <w:tcPr>
            <w:tcW w:w="7260" w:type="dxa"/>
            <w:vAlign w:val="bottom"/>
            <w:gridSpan w:val="5"/>
          </w:tcPr>
          <w:p>
            <w:pPr>
              <w:ind w:left="160"/>
              <w:spacing w:after="0"/>
              <w:rPr>
                <w:sz w:val="20"/>
                <w:szCs w:val="20"/>
                <w:color w:val="auto"/>
              </w:rPr>
            </w:pPr>
            <w:r>
              <w:rPr>
                <w:rFonts w:ascii="Arial" w:cs="Arial" w:eastAsia="Arial" w:hAnsi="Arial"/>
                <w:sz w:val="22"/>
                <w:szCs w:val="22"/>
                <w:color w:val="auto"/>
                <w:w w:val="92"/>
              </w:rPr>
              <w:t>Acknowledgement and Consent to Bail-In of Affected Financial Institutions  158</w:t>
            </w:r>
          </w:p>
        </w:tc>
      </w:tr>
      <w:tr>
        <w:trPr>
          <w:trHeight w:val="257"/>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9.19.</w:t>
            </w:r>
          </w:p>
        </w:tc>
        <w:tc>
          <w:tcPr>
            <w:tcW w:w="7260" w:type="dxa"/>
            <w:vAlign w:val="bottom"/>
            <w:gridSpan w:val="5"/>
          </w:tcPr>
          <w:p>
            <w:pPr>
              <w:ind w:left="160"/>
              <w:spacing w:after="0"/>
              <w:rPr>
                <w:sz w:val="20"/>
                <w:szCs w:val="20"/>
                <w:color w:val="auto"/>
              </w:rPr>
            </w:pPr>
            <w:r>
              <w:rPr>
                <w:rFonts w:ascii="Arial" w:cs="Arial" w:eastAsia="Arial" w:hAnsi="Arial"/>
                <w:sz w:val="22"/>
                <w:szCs w:val="22"/>
                <w:color w:val="auto"/>
              </w:rPr>
              <w:t>Acknowledgement Regarding Any Supported QFCs  159</w:t>
            </w:r>
          </w:p>
        </w:tc>
      </w:tr>
      <w:tr>
        <w:trPr>
          <w:trHeight w:val="256"/>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9.20.</w:t>
            </w:r>
          </w:p>
        </w:tc>
        <w:tc>
          <w:tcPr>
            <w:tcW w:w="2660" w:type="dxa"/>
            <w:vAlign w:val="bottom"/>
            <w:gridSpan w:val="4"/>
          </w:tcPr>
          <w:p>
            <w:pPr>
              <w:ind w:left="160"/>
              <w:spacing w:after="0"/>
              <w:rPr>
                <w:sz w:val="20"/>
                <w:szCs w:val="20"/>
                <w:color w:val="auto"/>
              </w:rPr>
            </w:pPr>
            <w:r>
              <w:rPr>
                <w:rFonts w:ascii="Arial" w:cs="Arial" w:eastAsia="Arial" w:hAnsi="Arial"/>
                <w:sz w:val="22"/>
                <w:szCs w:val="22"/>
                <w:color w:val="auto"/>
              </w:rPr>
              <w:t>Judgment Currency  160</w:t>
            </w:r>
          </w:p>
        </w:tc>
        <w:tc>
          <w:tcPr>
            <w:tcW w:w="4600" w:type="dxa"/>
            <w:vAlign w:val="bottom"/>
          </w:tcPr>
          <w:p>
            <w:pPr>
              <w:spacing w:after="0"/>
              <w:rPr>
                <w:sz w:val="22"/>
                <w:szCs w:val="22"/>
                <w:color w:val="auto"/>
              </w:rPr>
            </w:pPr>
          </w:p>
        </w:tc>
      </w:tr>
      <w:tr>
        <w:trPr>
          <w:trHeight w:val="274"/>
        </w:trPr>
        <w:tc>
          <w:tcPr>
            <w:tcW w:w="2120" w:type="dxa"/>
            <w:vAlign w:val="bottom"/>
            <w:gridSpan w:val="5"/>
          </w:tcPr>
          <w:p>
            <w:pPr>
              <w:ind w:left="660"/>
              <w:spacing w:after="0"/>
              <w:rPr>
                <w:sz w:val="20"/>
                <w:szCs w:val="20"/>
                <w:color w:val="auto"/>
              </w:rPr>
            </w:pPr>
            <w:r>
              <w:rPr>
                <w:rFonts w:ascii="Arial" w:cs="Arial" w:eastAsia="Arial" w:hAnsi="Arial"/>
                <w:sz w:val="22"/>
                <w:szCs w:val="22"/>
                <w:color w:val="auto"/>
                <w:w w:val="94"/>
              </w:rPr>
              <w:t>SECTION 9.21.</w:t>
            </w:r>
          </w:p>
        </w:tc>
        <w:tc>
          <w:tcPr>
            <w:tcW w:w="2320" w:type="dxa"/>
            <w:vAlign w:val="bottom"/>
            <w:gridSpan w:val="3"/>
          </w:tcPr>
          <w:p>
            <w:pPr>
              <w:ind w:left="160"/>
              <w:spacing w:after="0"/>
              <w:rPr>
                <w:sz w:val="20"/>
                <w:szCs w:val="20"/>
                <w:color w:val="auto"/>
              </w:rPr>
            </w:pPr>
            <w:r>
              <w:rPr>
                <w:rFonts w:ascii="Arial" w:cs="Arial" w:eastAsia="Arial" w:hAnsi="Arial"/>
                <w:sz w:val="22"/>
                <w:szCs w:val="22"/>
                <w:color w:val="auto"/>
                <w:w w:val="87"/>
              </w:rPr>
              <w:t>Borrower Representative</w:t>
            </w:r>
          </w:p>
        </w:tc>
        <w:tc>
          <w:tcPr>
            <w:tcW w:w="4940" w:type="dxa"/>
            <w:vAlign w:val="bottom"/>
            <w:gridSpan w:val="2"/>
          </w:tcPr>
          <w:p>
            <w:pPr>
              <w:jc w:val="right"/>
              <w:ind w:right="4292"/>
              <w:spacing w:after="0"/>
              <w:rPr>
                <w:sz w:val="20"/>
                <w:szCs w:val="20"/>
                <w:color w:val="auto"/>
              </w:rPr>
            </w:pPr>
            <w:r>
              <w:rPr>
                <w:rFonts w:ascii="Arial" w:cs="Arial" w:eastAsia="Arial" w:hAnsi="Arial"/>
                <w:sz w:val="22"/>
                <w:szCs w:val="22"/>
                <w:color w:val="auto"/>
              </w:rPr>
              <w:t>160</w:t>
            </w:r>
          </w:p>
        </w:tc>
      </w:tr>
      <w:tr>
        <w:trPr>
          <w:trHeight w:val="638"/>
        </w:trPr>
        <w:tc>
          <w:tcPr>
            <w:tcW w:w="1380" w:type="dxa"/>
            <w:vAlign w:val="bottom"/>
            <w:gridSpan w:val="3"/>
          </w:tcPr>
          <w:p>
            <w:pPr>
              <w:spacing w:after="0"/>
              <w:rPr>
                <w:sz w:val="20"/>
                <w:szCs w:val="20"/>
                <w:color w:val="auto"/>
              </w:rPr>
            </w:pPr>
            <w:r>
              <w:rPr>
                <w:rFonts w:ascii="Arial" w:cs="Arial" w:eastAsia="Arial" w:hAnsi="Arial"/>
                <w:sz w:val="22"/>
                <w:szCs w:val="22"/>
                <w:color w:val="auto"/>
                <w:w w:val="96"/>
              </w:rPr>
              <w:t>SCHEDULES: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69"/>
        </w:trPr>
        <w:tc>
          <w:tcPr>
            <w:tcW w:w="1700" w:type="dxa"/>
            <w:vAlign w:val="bottom"/>
            <w:gridSpan w:val="4"/>
          </w:tcPr>
          <w:p>
            <w:pPr>
              <w:spacing w:after="0"/>
              <w:rPr>
                <w:sz w:val="20"/>
                <w:szCs w:val="20"/>
                <w:color w:val="auto"/>
              </w:rPr>
            </w:pPr>
            <w:r>
              <w:rPr>
                <w:rFonts w:ascii="Arial" w:cs="Arial" w:eastAsia="Arial" w:hAnsi="Arial"/>
                <w:sz w:val="22"/>
                <w:szCs w:val="22"/>
                <w:color w:val="auto"/>
              </w:rPr>
              <w:t>Schedule 1.01(a)</w:t>
            </w:r>
          </w:p>
        </w:tc>
        <w:tc>
          <w:tcPr>
            <w:tcW w:w="420" w:type="dxa"/>
            <w:vAlign w:val="bottom"/>
          </w:tcPr>
          <w:p>
            <w:pPr>
              <w:ind w:left="40"/>
              <w:spacing w:after="0"/>
              <w:rPr>
                <w:sz w:val="20"/>
                <w:szCs w:val="20"/>
                <w:color w:val="auto"/>
              </w:rPr>
            </w:pPr>
            <w:r>
              <w:rPr>
                <w:rFonts w:ascii="Arial" w:cs="Arial" w:eastAsia="Arial" w:hAnsi="Arial"/>
                <w:sz w:val="22"/>
                <w:szCs w:val="22"/>
                <w:color w:val="auto"/>
              </w:rPr>
              <w:t>—</w:t>
            </w:r>
          </w:p>
        </w:tc>
        <w:tc>
          <w:tcPr>
            <w:tcW w:w="1660" w:type="dxa"/>
            <w:vAlign w:val="bottom"/>
            <w:gridSpan w:val="2"/>
          </w:tcPr>
          <w:p>
            <w:pPr>
              <w:ind w:left="60"/>
              <w:spacing w:after="0"/>
              <w:rPr>
                <w:sz w:val="20"/>
                <w:szCs w:val="20"/>
                <w:color w:val="auto"/>
              </w:rPr>
            </w:pPr>
            <w:r>
              <w:rPr>
                <w:rFonts w:ascii="Arial" w:cs="Arial" w:eastAsia="Arial" w:hAnsi="Arial"/>
                <w:sz w:val="22"/>
                <w:szCs w:val="22"/>
                <w:color w:val="auto"/>
                <w:w w:val="89"/>
              </w:rPr>
              <w:t>Collateral Vessels</w:t>
            </w: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0" w:type="dxa"/>
            <w:vAlign w:val="bottom"/>
          </w:tcPr>
          <w:p>
            <w:pPr>
              <w:spacing w:after="0"/>
              <w:rPr>
                <w:sz w:val="23"/>
                <w:szCs w:val="23"/>
                <w:color w:val="auto"/>
              </w:rPr>
            </w:pPr>
          </w:p>
        </w:tc>
      </w:tr>
      <w:tr>
        <w:trPr>
          <w:trHeight w:val="256"/>
        </w:trPr>
        <w:tc>
          <w:tcPr>
            <w:tcW w:w="1700" w:type="dxa"/>
            <w:vAlign w:val="bottom"/>
            <w:gridSpan w:val="4"/>
          </w:tcPr>
          <w:p>
            <w:pPr>
              <w:spacing w:after="0"/>
              <w:rPr>
                <w:sz w:val="20"/>
                <w:szCs w:val="20"/>
                <w:color w:val="auto"/>
              </w:rPr>
            </w:pPr>
            <w:r>
              <w:rPr>
                <w:rFonts w:ascii="Arial" w:cs="Arial" w:eastAsia="Arial" w:hAnsi="Arial"/>
                <w:sz w:val="22"/>
                <w:szCs w:val="22"/>
                <w:color w:val="auto"/>
              </w:rPr>
              <w:t>Schedule 1.01(b)</w:t>
            </w:r>
          </w:p>
        </w:tc>
        <w:tc>
          <w:tcPr>
            <w:tcW w:w="420" w:type="dxa"/>
            <w:vAlign w:val="bottom"/>
          </w:tcPr>
          <w:p>
            <w:pPr>
              <w:ind w:left="60"/>
              <w:spacing w:after="0"/>
              <w:rPr>
                <w:sz w:val="20"/>
                <w:szCs w:val="20"/>
                <w:color w:val="auto"/>
              </w:rPr>
            </w:pPr>
            <w:r>
              <w:rPr>
                <w:rFonts w:ascii="Arial" w:cs="Arial" w:eastAsia="Arial" w:hAnsi="Arial"/>
                <w:sz w:val="22"/>
                <w:szCs w:val="22"/>
                <w:color w:val="auto"/>
              </w:rPr>
              <w:t>—</w:t>
            </w:r>
          </w:p>
        </w:tc>
        <w:tc>
          <w:tcPr>
            <w:tcW w:w="2320" w:type="dxa"/>
            <w:vAlign w:val="bottom"/>
            <w:gridSpan w:val="3"/>
          </w:tcPr>
          <w:p>
            <w:pPr>
              <w:ind w:left="60"/>
              <w:spacing w:after="0"/>
              <w:rPr>
                <w:sz w:val="20"/>
                <w:szCs w:val="20"/>
                <w:color w:val="auto"/>
              </w:rPr>
            </w:pPr>
            <w:r>
              <w:rPr>
                <w:rFonts w:ascii="Arial" w:cs="Arial" w:eastAsia="Arial" w:hAnsi="Arial"/>
                <w:sz w:val="22"/>
                <w:szCs w:val="22"/>
                <w:color w:val="auto"/>
              </w:rPr>
              <w:t>Mortgaged Property</w:t>
            </w: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Arial" w:cs="Arial" w:eastAsia="Arial" w:hAnsi="Arial"/>
                <w:sz w:val="22"/>
                <w:szCs w:val="22"/>
                <w:color w:val="auto"/>
                <w:w w:val="96"/>
              </w:rPr>
              <w:t>Schedule 2.01</w:t>
            </w:r>
          </w:p>
        </w:tc>
        <w:tc>
          <w:tcPr>
            <w:tcW w:w="320" w:type="dxa"/>
            <w:vAlign w:val="bottom"/>
          </w:tcPr>
          <w:p>
            <w:pPr>
              <w:ind w:left="60"/>
              <w:spacing w:after="0"/>
              <w:rPr>
                <w:sz w:val="20"/>
                <w:szCs w:val="20"/>
                <w:color w:val="auto"/>
              </w:rPr>
            </w:pPr>
            <w:r>
              <w:rPr>
                <w:rFonts w:ascii="Arial" w:cs="Arial" w:eastAsia="Arial" w:hAnsi="Arial"/>
                <w:sz w:val="22"/>
                <w:szCs w:val="22"/>
                <w:color w:val="auto"/>
              </w:rPr>
              <w:t>—</w:t>
            </w:r>
          </w:p>
        </w:tc>
        <w:tc>
          <w:tcPr>
            <w:tcW w:w="1420" w:type="dxa"/>
            <w:vAlign w:val="bottom"/>
            <w:gridSpan w:val="2"/>
          </w:tcPr>
          <w:p>
            <w:pPr>
              <w:ind w:left="180"/>
              <w:spacing w:after="0"/>
              <w:rPr>
                <w:sz w:val="20"/>
                <w:szCs w:val="20"/>
                <w:color w:val="auto"/>
              </w:rPr>
            </w:pPr>
            <w:r>
              <w:rPr>
                <w:rFonts w:ascii="Arial" w:cs="Arial" w:eastAsia="Arial" w:hAnsi="Arial"/>
                <w:sz w:val="22"/>
                <w:szCs w:val="22"/>
                <w:color w:val="auto"/>
                <w:w w:val="89"/>
              </w:rPr>
              <w:t>Commitments</w:t>
            </w: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6"/>
        </w:trPr>
        <w:tc>
          <w:tcPr>
            <w:tcW w:w="4440" w:type="dxa"/>
            <w:vAlign w:val="bottom"/>
            <w:gridSpan w:val="8"/>
          </w:tcPr>
          <w:p>
            <w:pPr>
              <w:spacing w:after="0"/>
              <w:rPr>
                <w:sz w:val="20"/>
                <w:szCs w:val="20"/>
                <w:color w:val="auto"/>
              </w:rPr>
            </w:pPr>
            <w:r>
              <w:rPr>
                <w:rFonts w:ascii="Arial" w:cs="Arial" w:eastAsia="Arial" w:hAnsi="Arial"/>
                <w:sz w:val="22"/>
                <w:szCs w:val="22"/>
                <w:color w:val="auto"/>
              </w:rPr>
              <w:t>Schedule 2.05  —  Existing Letters of Credit</w:t>
            </w: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Arial" w:cs="Arial" w:eastAsia="Arial" w:hAnsi="Arial"/>
                <w:sz w:val="22"/>
                <w:szCs w:val="22"/>
                <w:color w:val="auto"/>
                <w:w w:val="96"/>
              </w:rPr>
              <w:t>Schedule 3.14</w:t>
            </w:r>
          </w:p>
        </w:tc>
        <w:tc>
          <w:tcPr>
            <w:tcW w:w="320" w:type="dxa"/>
            <w:vAlign w:val="bottom"/>
          </w:tcPr>
          <w:p>
            <w:pPr>
              <w:ind w:left="60"/>
              <w:spacing w:after="0"/>
              <w:rPr>
                <w:sz w:val="20"/>
                <w:szCs w:val="20"/>
                <w:color w:val="auto"/>
              </w:rPr>
            </w:pPr>
            <w:r>
              <w:rPr>
                <w:rFonts w:ascii="Arial" w:cs="Arial" w:eastAsia="Arial" w:hAnsi="Arial"/>
                <w:sz w:val="22"/>
                <w:szCs w:val="22"/>
                <w:color w:val="auto"/>
              </w:rPr>
              <w:t>—</w:t>
            </w:r>
          </w:p>
        </w:tc>
        <w:tc>
          <w:tcPr>
            <w:tcW w:w="1420" w:type="dxa"/>
            <w:vAlign w:val="bottom"/>
            <w:gridSpan w:val="2"/>
          </w:tcPr>
          <w:p>
            <w:pPr>
              <w:ind w:left="180"/>
              <w:spacing w:after="0"/>
              <w:rPr>
                <w:sz w:val="20"/>
                <w:szCs w:val="20"/>
                <w:color w:val="auto"/>
              </w:rPr>
            </w:pPr>
            <w:r>
              <w:rPr>
                <w:rFonts w:ascii="Arial" w:cs="Arial" w:eastAsia="Arial" w:hAnsi="Arial"/>
                <w:sz w:val="22"/>
                <w:szCs w:val="22"/>
                <w:color w:val="auto"/>
              </w:rPr>
              <w:t>Subsidiaries</w:t>
            </w: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7"/>
        </w:trPr>
        <w:tc>
          <w:tcPr>
            <w:tcW w:w="3780" w:type="dxa"/>
            <w:vAlign w:val="bottom"/>
            <w:gridSpan w:val="7"/>
          </w:tcPr>
          <w:p>
            <w:pPr>
              <w:spacing w:after="0"/>
              <w:rPr>
                <w:sz w:val="20"/>
                <w:szCs w:val="20"/>
                <w:color w:val="auto"/>
              </w:rPr>
            </w:pPr>
            <w:r>
              <w:rPr>
                <w:rFonts w:ascii="Arial" w:cs="Arial" w:eastAsia="Arial" w:hAnsi="Arial"/>
                <w:sz w:val="22"/>
                <w:szCs w:val="22"/>
                <w:color w:val="auto"/>
                <w:w w:val="93"/>
              </w:rPr>
              <w:t>Schedule 6.01  —  Existing Indebtedness</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6"/>
        </w:trPr>
        <w:tc>
          <w:tcPr>
            <w:tcW w:w="3780" w:type="dxa"/>
            <w:vAlign w:val="bottom"/>
            <w:gridSpan w:val="7"/>
          </w:tcPr>
          <w:p>
            <w:pPr>
              <w:spacing w:after="0"/>
              <w:rPr>
                <w:sz w:val="20"/>
                <w:szCs w:val="20"/>
                <w:color w:val="auto"/>
              </w:rPr>
            </w:pPr>
            <w:r>
              <w:rPr>
                <w:rFonts w:ascii="Arial" w:cs="Arial" w:eastAsia="Arial" w:hAnsi="Arial"/>
                <w:sz w:val="22"/>
                <w:szCs w:val="22"/>
                <w:color w:val="auto"/>
              </w:rPr>
              <w:t>Schedule 6.02(A)  —  Existing Liens</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7"/>
        </w:trPr>
        <w:tc>
          <w:tcPr>
            <w:tcW w:w="4440" w:type="dxa"/>
            <w:vAlign w:val="bottom"/>
            <w:gridSpan w:val="8"/>
          </w:tcPr>
          <w:p>
            <w:pPr>
              <w:spacing w:after="0"/>
              <w:rPr>
                <w:sz w:val="20"/>
                <w:szCs w:val="20"/>
                <w:color w:val="auto"/>
              </w:rPr>
            </w:pPr>
            <w:r>
              <w:rPr>
                <w:rFonts w:ascii="Arial" w:cs="Arial" w:eastAsia="Arial" w:hAnsi="Arial"/>
                <w:sz w:val="22"/>
                <w:szCs w:val="22"/>
                <w:color w:val="auto"/>
                <w:w w:val="98"/>
              </w:rPr>
              <w:t>Schedule 6.02(B)  —  Specified Real Property</w:t>
            </w: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6"/>
        </w:trPr>
        <w:tc>
          <w:tcPr>
            <w:tcW w:w="3780" w:type="dxa"/>
            <w:vAlign w:val="bottom"/>
            <w:gridSpan w:val="7"/>
          </w:tcPr>
          <w:p>
            <w:pPr>
              <w:spacing w:after="0"/>
              <w:rPr>
                <w:sz w:val="20"/>
                <w:szCs w:val="20"/>
                <w:color w:val="auto"/>
              </w:rPr>
            </w:pPr>
            <w:r>
              <w:rPr>
                <w:rFonts w:ascii="Arial" w:cs="Arial" w:eastAsia="Arial" w:hAnsi="Arial"/>
                <w:sz w:val="22"/>
                <w:szCs w:val="22"/>
                <w:color w:val="auto"/>
                <w:w w:val="96"/>
              </w:rPr>
              <w:t>Schedule 6.04  —  Existing Investments</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74"/>
        </w:trPr>
        <w:tc>
          <w:tcPr>
            <w:tcW w:w="3780" w:type="dxa"/>
            <w:vAlign w:val="bottom"/>
            <w:gridSpan w:val="7"/>
          </w:tcPr>
          <w:p>
            <w:pPr>
              <w:spacing w:after="0"/>
              <w:rPr>
                <w:sz w:val="20"/>
                <w:szCs w:val="20"/>
                <w:color w:val="auto"/>
              </w:rPr>
            </w:pPr>
            <w:r>
              <w:rPr>
                <w:rFonts w:ascii="Arial" w:cs="Arial" w:eastAsia="Arial" w:hAnsi="Arial"/>
                <w:sz w:val="22"/>
                <w:szCs w:val="22"/>
                <w:color w:val="auto"/>
                <w:w w:val="97"/>
              </w:rPr>
              <w:t>Schedule 6.10  —  Existing Restrictions</w:t>
            </w: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0" w:type="dxa"/>
            <w:vAlign w:val="bottom"/>
          </w:tcPr>
          <w:p>
            <w:pPr>
              <w:spacing w:after="0"/>
              <w:rPr>
                <w:sz w:val="23"/>
                <w:szCs w:val="23"/>
                <w:color w:val="auto"/>
              </w:rPr>
            </w:pPr>
          </w:p>
        </w:tc>
      </w:tr>
      <w:tr>
        <w:trPr>
          <w:trHeight w:val="422"/>
        </w:trPr>
        <w:tc>
          <w:tcPr>
            <w:tcW w:w="1380" w:type="dxa"/>
            <w:vAlign w:val="bottom"/>
            <w:gridSpan w:val="3"/>
          </w:tcPr>
          <w:p>
            <w:pPr>
              <w:spacing w:after="0"/>
              <w:rPr>
                <w:sz w:val="20"/>
                <w:szCs w:val="20"/>
                <w:color w:val="auto"/>
              </w:rPr>
            </w:pPr>
            <w:r>
              <w:rPr>
                <w:rFonts w:ascii="Arial" w:cs="Arial" w:eastAsia="Arial" w:hAnsi="Arial"/>
                <w:sz w:val="22"/>
                <w:szCs w:val="22"/>
                <w:color w:val="auto"/>
              </w:rPr>
              <w:t>EXHIBITS: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85"/>
        </w:trPr>
        <w:tc>
          <w:tcPr>
            <w:tcW w:w="4780" w:type="dxa"/>
            <w:vAlign w:val="bottom"/>
            <w:gridSpan w:val="9"/>
          </w:tcPr>
          <w:p>
            <w:pPr>
              <w:spacing w:after="0"/>
              <w:rPr>
                <w:sz w:val="20"/>
                <w:szCs w:val="20"/>
                <w:color w:val="auto"/>
              </w:rPr>
            </w:pPr>
            <w:r>
              <w:rPr>
                <w:rFonts w:ascii="Arial" w:cs="Arial" w:eastAsia="Arial" w:hAnsi="Arial"/>
                <w:sz w:val="22"/>
                <w:szCs w:val="22"/>
                <w:color w:val="auto"/>
                <w:w w:val="96"/>
              </w:rPr>
              <w:t>Exhibit A  —  Form of Assignment and Assumption</w:t>
            </w:r>
          </w:p>
        </w:tc>
        <w:tc>
          <w:tcPr>
            <w:tcW w:w="4600" w:type="dxa"/>
            <w:vAlign w:val="bottom"/>
          </w:tcPr>
          <w:p>
            <w:pPr>
              <w:spacing w:after="0"/>
              <w:rPr>
                <w:sz w:val="24"/>
                <w:szCs w:val="24"/>
                <w:color w:val="auto"/>
              </w:rPr>
            </w:pPr>
          </w:p>
        </w:tc>
      </w:tr>
      <w:tr>
        <w:trPr>
          <w:trHeight w:val="256"/>
        </w:trPr>
        <w:tc>
          <w:tcPr>
            <w:tcW w:w="4440" w:type="dxa"/>
            <w:vAlign w:val="bottom"/>
            <w:gridSpan w:val="8"/>
          </w:tcPr>
          <w:p>
            <w:pPr>
              <w:spacing w:after="0"/>
              <w:rPr>
                <w:sz w:val="20"/>
                <w:szCs w:val="20"/>
                <w:color w:val="auto"/>
              </w:rPr>
            </w:pPr>
            <w:r>
              <w:rPr>
                <w:rFonts w:ascii="Arial" w:cs="Arial" w:eastAsia="Arial" w:hAnsi="Arial"/>
                <w:sz w:val="22"/>
                <w:szCs w:val="22"/>
                <w:color w:val="auto"/>
              </w:rPr>
              <w:t>Exhibit B  —  Form of Borrowing Request</w:t>
            </w:r>
          </w:p>
        </w:tc>
        <w:tc>
          <w:tcPr>
            <w:tcW w:w="340" w:type="dxa"/>
            <w:vAlign w:val="bottom"/>
          </w:tcPr>
          <w:p>
            <w:pPr>
              <w:spacing w:after="0"/>
              <w:rPr>
                <w:sz w:val="22"/>
                <w:szCs w:val="22"/>
                <w:color w:val="auto"/>
              </w:rPr>
            </w:pPr>
          </w:p>
        </w:tc>
        <w:tc>
          <w:tcPr>
            <w:tcW w:w="4600" w:type="dxa"/>
            <w:vAlign w:val="bottom"/>
          </w:tcPr>
          <w:p>
            <w:pPr>
              <w:spacing w:after="0"/>
              <w:rPr>
                <w:sz w:val="22"/>
                <w:szCs w:val="22"/>
                <w:color w:val="auto"/>
              </w:rPr>
            </w:pPr>
          </w:p>
        </w:tc>
      </w:tr>
      <w:tr>
        <w:trPr>
          <w:trHeight w:val="256"/>
        </w:trPr>
        <w:tc>
          <w:tcPr>
            <w:tcW w:w="4780" w:type="dxa"/>
            <w:vAlign w:val="bottom"/>
            <w:gridSpan w:val="9"/>
          </w:tcPr>
          <w:p>
            <w:pPr>
              <w:spacing w:after="0"/>
              <w:rPr>
                <w:sz w:val="20"/>
                <w:szCs w:val="20"/>
                <w:color w:val="auto"/>
              </w:rPr>
            </w:pPr>
            <w:r>
              <w:rPr>
                <w:rFonts w:ascii="Arial" w:cs="Arial" w:eastAsia="Arial" w:hAnsi="Arial"/>
                <w:sz w:val="22"/>
                <w:szCs w:val="22"/>
                <w:color w:val="auto"/>
              </w:rPr>
              <w:t>Exhibit C  —  Form of New York-Law Guarantee</w:t>
            </w:r>
          </w:p>
        </w:tc>
        <w:tc>
          <w:tcPr>
            <w:tcW w:w="4600" w:type="dxa"/>
            <w:vAlign w:val="bottom"/>
          </w:tcPr>
          <w:p>
            <w:pPr>
              <w:spacing w:after="0"/>
              <w:rPr>
                <w:sz w:val="22"/>
                <w:szCs w:val="22"/>
                <w:color w:val="auto"/>
              </w:rPr>
            </w:pPr>
          </w:p>
        </w:tc>
      </w:tr>
      <w:tr>
        <w:trPr>
          <w:trHeight w:val="274"/>
        </w:trPr>
        <w:tc>
          <w:tcPr>
            <w:tcW w:w="1380" w:type="dxa"/>
            <w:vAlign w:val="bottom"/>
            <w:gridSpan w:val="3"/>
          </w:tcPr>
          <w:p>
            <w:pPr>
              <w:spacing w:after="0"/>
              <w:rPr>
                <w:sz w:val="20"/>
                <w:szCs w:val="20"/>
                <w:color w:val="auto"/>
              </w:rPr>
            </w:pPr>
            <w:r>
              <w:rPr>
                <w:rFonts w:ascii="Arial" w:cs="Arial" w:eastAsia="Arial" w:hAnsi="Arial"/>
                <w:sz w:val="22"/>
                <w:szCs w:val="22"/>
                <w:color w:val="auto"/>
              </w:rPr>
              <w:t>Exhibit D  —</w:t>
            </w:r>
          </w:p>
        </w:tc>
        <w:tc>
          <w:tcPr>
            <w:tcW w:w="8000" w:type="dxa"/>
            <w:vAlign w:val="bottom"/>
            <w:gridSpan w:val="7"/>
          </w:tcPr>
          <w:p>
            <w:pPr>
              <w:jc w:val="right"/>
              <w:ind w:right="4012"/>
              <w:spacing w:after="0"/>
              <w:rPr>
                <w:sz w:val="20"/>
                <w:szCs w:val="20"/>
                <w:color w:val="auto"/>
              </w:rPr>
            </w:pPr>
            <w:r>
              <w:rPr>
                <w:rFonts w:ascii="Arial" w:cs="Arial" w:eastAsia="Arial" w:hAnsi="Arial"/>
                <w:sz w:val="22"/>
                <w:szCs w:val="22"/>
                <w:color w:val="auto"/>
                <w:w w:val="93"/>
              </w:rPr>
              <w:t>Form of New York-Law Pledge Agreement</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139"/>
          </w:cols>
          <w:pgMar w:left="320" w:top="1440" w:right="1440" w:bottom="1440" w:gutter="0" w:footer="0" w:header="0"/>
          <w:type w:val="continuous"/>
        </w:sectPr>
      </w:pPr>
    </w:p>
    <w:bookmarkStart w:id="76" w:name="page77"/>
    <w:bookmarkEnd w:id="76"/>
    <w:p>
      <w:pPr>
        <w:spacing w:after="0"/>
        <w:tabs>
          <w:tab w:leader="none" w:pos="1020" w:val="left"/>
          <w:tab w:leader="none" w:pos="1460" w:val="left"/>
        </w:tabs>
        <w:rPr>
          <w:sz w:val="20"/>
          <w:szCs w:val="20"/>
          <w:color w:val="auto"/>
        </w:rPr>
      </w:pPr>
      <w:r>
        <w:rPr>
          <w:rFonts w:ascii="Arial" w:cs="Arial" w:eastAsia="Arial" w:hAnsi="Arial"/>
          <w:sz w:val="22"/>
          <w:szCs w:val="22"/>
          <w:color w:val="auto"/>
        </w:rPr>
        <w:t>Exhibit E</w:t>
        <w:tab/>
        <w:t>—</w:t>
      </w:r>
      <w:r>
        <w:rPr>
          <w:sz w:val="20"/>
          <w:szCs w:val="20"/>
          <w:color w:val="auto"/>
        </w:rPr>
        <w:tab/>
      </w:r>
      <w:r>
        <w:rPr>
          <w:rFonts w:ascii="Arial" w:cs="Arial" w:eastAsia="Arial" w:hAnsi="Arial"/>
          <w:sz w:val="19"/>
          <w:szCs w:val="19"/>
          <w:color w:val="auto"/>
        </w:rPr>
        <w:t>Form of New York-Law Security Agreement</w:t>
      </w:r>
    </w:p>
    <w:p>
      <w:pPr>
        <w:spacing w:after="0" w:line="21" w:lineRule="exact"/>
        <w:rPr>
          <w:sz w:val="20"/>
          <w:szCs w:val="20"/>
          <w:color w:val="auto"/>
        </w:rPr>
      </w:pPr>
    </w:p>
    <w:p>
      <w:pPr>
        <w:spacing w:after="0"/>
        <w:tabs>
          <w:tab w:leader="none" w:pos="1020" w:val="left"/>
          <w:tab w:leader="none" w:pos="1440" w:val="left"/>
        </w:tabs>
        <w:rPr>
          <w:sz w:val="20"/>
          <w:szCs w:val="20"/>
          <w:color w:val="auto"/>
        </w:rPr>
      </w:pPr>
      <w:r>
        <w:rPr>
          <w:rFonts w:ascii="Arial" w:cs="Arial" w:eastAsia="Arial" w:hAnsi="Arial"/>
          <w:sz w:val="22"/>
          <w:szCs w:val="22"/>
          <w:color w:val="auto"/>
        </w:rPr>
        <w:t>Exhibit F</w:t>
        <w:tab/>
        <w:t>—</w:t>
      </w:r>
      <w:r>
        <w:rPr>
          <w:sz w:val="20"/>
          <w:szCs w:val="20"/>
          <w:color w:val="auto"/>
        </w:rPr>
        <w:tab/>
      </w:r>
      <w:r>
        <w:rPr>
          <w:rFonts w:ascii="Arial" w:cs="Arial" w:eastAsia="Arial" w:hAnsi="Arial"/>
          <w:sz w:val="19"/>
          <w:szCs w:val="19"/>
          <w:color w:val="auto"/>
        </w:rPr>
        <w:t>Form of Perfection Certificate</w:t>
      </w:r>
    </w:p>
    <w:p>
      <w:pPr>
        <w:spacing w:after="0" w:line="4" w:lineRule="exact"/>
        <w:rPr>
          <w:sz w:val="20"/>
          <w:szCs w:val="20"/>
          <w:color w:val="auto"/>
        </w:rPr>
      </w:pPr>
    </w:p>
    <w:p>
      <w:pPr>
        <w:ind w:right="5040"/>
        <w:spacing w:after="0" w:line="243" w:lineRule="auto"/>
        <w:rPr>
          <w:sz w:val="20"/>
          <w:szCs w:val="20"/>
          <w:color w:val="auto"/>
        </w:rPr>
      </w:pPr>
      <w:r>
        <w:rPr>
          <w:rFonts w:ascii="Arial" w:cs="Arial" w:eastAsia="Arial" w:hAnsi="Arial"/>
          <w:sz w:val="22"/>
          <w:szCs w:val="22"/>
          <w:color w:val="auto"/>
        </w:rPr>
        <w:t>Exhibit G — Form of Secured Supply Chain Financing Designation Exhibit H — Form of Global Intercompany Note</w:t>
      </w:r>
    </w:p>
    <w:p>
      <w:pPr>
        <w:spacing w:after="0" w:line="1" w:lineRule="exact"/>
        <w:rPr>
          <w:sz w:val="20"/>
          <w:szCs w:val="20"/>
          <w:color w:val="auto"/>
        </w:rPr>
      </w:pPr>
    </w:p>
    <w:p>
      <w:pPr>
        <w:ind w:left="1300" w:hanging="1943"/>
        <w:spacing w:after="0" w:line="243" w:lineRule="auto"/>
        <w:tabs>
          <w:tab w:leader="none" w:pos="1280" w:val="left"/>
        </w:tabs>
        <w:rPr>
          <w:sz w:val="20"/>
          <w:szCs w:val="20"/>
          <w:color w:val="auto"/>
        </w:rPr>
      </w:pPr>
      <w:r>
        <w:rPr>
          <w:rFonts w:ascii="Arial" w:cs="Arial" w:eastAsia="Arial" w:hAnsi="Arial"/>
          <w:sz w:val="22"/>
          <w:szCs w:val="22"/>
          <w:color w:val="auto"/>
        </w:rPr>
        <w:t>Exhibit I-1</w:t>
        <w:tab/>
        <w:t>— Form of U.S. Tax Compliance Certificate for Foreign Lenders that are not Partnerships for U.S. Federal Income Tax Purposes</w:t>
      </w:r>
    </w:p>
    <w:p>
      <w:pPr>
        <w:spacing w:after="0" w:line="1" w:lineRule="exact"/>
        <w:rPr>
          <w:sz w:val="20"/>
          <w:szCs w:val="20"/>
          <w:color w:val="auto"/>
        </w:rPr>
      </w:pPr>
    </w:p>
    <w:p>
      <w:pPr>
        <w:ind w:left="1280" w:right="20" w:hanging="1943"/>
        <w:spacing w:after="0" w:line="243" w:lineRule="auto"/>
        <w:tabs>
          <w:tab w:leader="none" w:pos="1260" w:val="left"/>
        </w:tabs>
        <w:rPr>
          <w:sz w:val="20"/>
          <w:szCs w:val="20"/>
          <w:color w:val="auto"/>
        </w:rPr>
      </w:pPr>
      <w:r>
        <w:rPr>
          <w:rFonts w:ascii="Arial" w:cs="Arial" w:eastAsia="Arial" w:hAnsi="Arial"/>
          <w:sz w:val="22"/>
          <w:szCs w:val="22"/>
          <w:color w:val="auto"/>
        </w:rPr>
        <w:t>Exhibit I-2</w:t>
        <w:tab/>
        <w:t>— Form of U.S. Tax Compliance Certificate for Non-U.S. Participants that are Partnerships for U.S. Federal Income Tax Purposes</w:t>
      </w:r>
    </w:p>
    <w:p>
      <w:pPr>
        <w:spacing w:after="0" w:line="1" w:lineRule="exact"/>
        <w:rPr>
          <w:sz w:val="20"/>
          <w:szCs w:val="20"/>
          <w:color w:val="auto"/>
        </w:rPr>
      </w:pPr>
    </w:p>
    <w:p>
      <w:pPr>
        <w:ind w:left="1200" w:hanging="1943"/>
        <w:spacing w:after="0" w:line="243" w:lineRule="auto"/>
        <w:tabs>
          <w:tab w:leader="none" w:pos="1180" w:val="left"/>
        </w:tabs>
        <w:rPr>
          <w:sz w:val="20"/>
          <w:szCs w:val="20"/>
          <w:color w:val="auto"/>
        </w:rPr>
      </w:pPr>
      <w:r>
        <w:rPr>
          <w:rFonts w:ascii="Arial" w:cs="Arial" w:eastAsia="Arial" w:hAnsi="Arial"/>
          <w:sz w:val="22"/>
          <w:szCs w:val="22"/>
          <w:color w:val="auto"/>
        </w:rPr>
        <w:t>Exhibit I-3</w:t>
        <w:tab/>
        <w:t>— Form of U.S. Tax Compliance Certificate for Non-U.S. Participants that are not Partnerships for U.S. Federal Income Tax Purposes</w:t>
      </w:r>
    </w:p>
    <w:p>
      <w:pPr>
        <w:spacing w:after="0" w:line="1" w:lineRule="exact"/>
        <w:rPr>
          <w:sz w:val="20"/>
          <w:szCs w:val="20"/>
          <w:color w:val="auto"/>
        </w:rPr>
      </w:pPr>
    </w:p>
    <w:p>
      <w:pPr>
        <w:ind w:left="1240" w:hanging="1943"/>
        <w:spacing w:after="0" w:line="243" w:lineRule="auto"/>
        <w:tabs>
          <w:tab w:leader="none" w:pos="1220" w:val="left"/>
        </w:tabs>
        <w:rPr>
          <w:sz w:val="20"/>
          <w:szCs w:val="20"/>
          <w:color w:val="auto"/>
        </w:rPr>
      </w:pPr>
      <w:r>
        <w:rPr>
          <w:rFonts w:ascii="Arial" w:cs="Arial" w:eastAsia="Arial" w:hAnsi="Arial"/>
          <w:sz w:val="22"/>
          <w:szCs w:val="22"/>
          <w:color w:val="auto"/>
        </w:rPr>
        <w:t>Exhibit I-4</w:t>
        <w:tab/>
        <w:t>— Form of U.S. Tax Compliance Certificate for Foreign Lenders that are Partnerships for U.S. Federal Income Tax Purposes</w:t>
      </w:r>
    </w:p>
    <w:p>
      <w:pPr>
        <w:spacing w:after="0" w:line="1" w:lineRule="exact"/>
        <w:rPr>
          <w:sz w:val="20"/>
          <w:szCs w:val="20"/>
          <w:color w:val="auto"/>
        </w:rPr>
      </w:pPr>
    </w:p>
    <w:p>
      <w:pPr>
        <w:spacing w:after="0"/>
        <w:tabs>
          <w:tab w:leader="none" w:pos="980" w:val="left"/>
          <w:tab w:leader="none" w:pos="1420" w:val="left"/>
        </w:tabs>
        <w:rPr>
          <w:sz w:val="20"/>
          <w:szCs w:val="20"/>
          <w:color w:val="auto"/>
        </w:rPr>
      </w:pPr>
      <w:r>
        <w:rPr>
          <w:rFonts w:ascii="Arial" w:cs="Arial" w:eastAsia="Arial" w:hAnsi="Arial"/>
          <w:sz w:val="22"/>
          <w:szCs w:val="22"/>
          <w:color w:val="auto"/>
        </w:rPr>
        <w:t>Exhibit J</w:t>
        <w:tab/>
        <w:t>—</w:t>
      </w:r>
      <w:r>
        <w:rPr>
          <w:sz w:val="20"/>
          <w:szCs w:val="20"/>
          <w:color w:val="auto"/>
        </w:rPr>
        <w:tab/>
      </w:r>
      <w:r>
        <w:rPr>
          <w:rFonts w:ascii="Arial" w:cs="Arial" w:eastAsia="Arial" w:hAnsi="Arial"/>
          <w:sz w:val="19"/>
          <w:szCs w:val="19"/>
          <w:color w:val="auto"/>
        </w:rPr>
        <w:t>Form of Note</w:t>
      </w:r>
    </w:p>
    <w:p>
      <w:pPr>
        <w:spacing w:after="0" w:line="4"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22"/>
          <w:szCs w:val="22"/>
          <w:color w:val="auto"/>
        </w:rPr>
        <w:t>Exhibit K</w:t>
        <w:tab/>
        <w:t>—</w:t>
      </w:r>
      <w:r>
        <w:rPr>
          <w:sz w:val="20"/>
          <w:szCs w:val="20"/>
          <w:color w:val="auto"/>
        </w:rPr>
        <w:tab/>
      </w:r>
      <w:r>
        <w:rPr>
          <w:rFonts w:ascii="Arial" w:cs="Arial" w:eastAsia="Arial" w:hAnsi="Arial"/>
          <w:sz w:val="19"/>
          <w:szCs w:val="19"/>
          <w:color w:val="auto"/>
        </w:rPr>
        <w:t>Form of Solvency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240"/>
          </w:cols>
          <w:pgMar w:left="320" w:top="1428" w:right="339" w:bottom="1440" w:gutter="0" w:footer="0" w:header="0"/>
        </w:sectPr>
      </w:pPr>
    </w:p>
    <w:bookmarkStart w:id="77" w:name="page78"/>
    <w:bookmarkEnd w:id="77"/>
    <w:p>
      <w:pPr>
        <w:jc w:val="both"/>
        <w:ind w:firstLine="648"/>
        <w:spacing w:after="0" w:line="265" w:lineRule="auto"/>
        <w:rPr>
          <w:sz w:val="20"/>
          <w:szCs w:val="20"/>
          <w:color w:val="auto"/>
        </w:rPr>
      </w:pPr>
      <w:r>
        <w:rPr>
          <w:rFonts w:ascii="Arial" w:cs="Arial" w:eastAsia="Arial" w:hAnsi="Arial"/>
          <w:sz w:val="21"/>
          <w:szCs w:val="21"/>
          <w:color w:val="auto"/>
        </w:rPr>
        <w:t>CREDIT AGREEMENT dated as of February 16, 2021 (this “</w:t>
      </w:r>
      <w:r>
        <w:rPr>
          <w:rFonts w:ascii="Arial" w:cs="Arial" w:eastAsia="Arial" w:hAnsi="Arial"/>
          <w:sz w:val="21"/>
          <w:szCs w:val="21"/>
          <w:u w:val="single" w:color="auto"/>
          <w:color w:val="auto"/>
        </w:rPr>
        <w:t>Agreement</w:t>
      </w:r>
      <w:r>
        <w:rPr>
          <w:rFonts w:ascii="Arial" w:cs="Arial" w:eastAsia="Arial" w:hAnsi="Arial"/>
          <w:sz w:val="21"/>
          <w:szCs w:val="21"/>
          <w:color w:val="auto"/>
        </w:rPr>
        <w:t>”), among TECHNIPFMC PLC, a public limited company incorporated under the laws of England and Wales (the “</w:t>
      </w:r>
      <w:r>
        <w:rPr>
          <w:rFonts w:ascii="Arial" w:cs="Arial" w:eastAsia="Arial" w:hAnsi="Arial"/>
          <w:sz w:val="21"/>
          <w:szCs w:val="21"/>
          <w:u w:val="single" w:color="auto"/>
          <w:color w:val="auto"/>
        </w:rPr>
        <w:t>Company</w:t>
      </w:r>
      <w:r>
        <w:rPr>
          <w:rFonts w:ascii="Arial" w:cs="Arial" w:eastAsia="Arial" w:hAnsi="Arial"/>
          <w:sz w:val="21"/>
          <w:szCs w:val="21"/>
          <w:color w:val="auto"/>
        </w:rPr>
        <w:t>”), FMC TECHNOLOGIES, INC., a Delaware corporation (the “</w:t>
      </w:r>
      <w:r>
        <w:rPr>
          <w:rFonts w:ascii="Arial" w:cs="Arial" w:eastAsia="Arial" w:hAnsi="Arial"/>
          <w:sz w:val="21"/>
          <w:szCs w:val="21"/>
          <w:u w:val="single" w:color="auto"/>
          <w:color w:val="auto"/>
        </w:rPr>
        <w:t>U.S. Borrower</w:t>
      </w:r>
      <w:r>
        <w:rPr>
          <w:rFonts w:ascii="Arial" w:cs="Arial" w:eastAsia="Arial" w:hAnsi="Arial"/>
          <w:sz w:val="21"/>
          <w:szCs w:val="21"/>
          <w:color w:val="auto"/>
        </w:rPr>
        <w:t>” and, together with the Company, the “</w:t>
      </w:r>
      <w:r>
        <w:rPr>
          <w:rFonts w:ascii="Arial" w:cs="Arial" w:eastAsia="Arial" w:hAnsi="Arial"/>
          <w:sz w:val="21"/>
          <w:szCs w:val="21"/>
          <w:u w:val="single" w:color="auto"/>
          <w:color w:val="auto"/>
        </w:rPr>
        <w:t>Borrowers</w:t>
      </w:r>
      <w:r>
        <w:rPr>
          <w:rFonts w:ascii="Arial" w:cs="Arial" w:eastAsia="Arial" w:hAnsi="Arial"/>
          <w:sz w:val="21"/>
          <w:szCs w:val="21"/>
          <w:color w:val="auto"/>
        </w:rPr>
        <w:t>”), the LENDERS and ISSUING BANKS party hereto and JPMORGAN CHASE BANK, N.A., as Administrative Agent.</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Borrowers have requested that the Lenders extend credit in the form of Revolving Loans and the Issuing Banks issue Letters of Credit, in each case at any time and from time to time during the Availability Period such that the Total Revolving Exposure will not exceed $1,000,000,000 at any time. The proceeds of the Revolving Loans on and after the Effective Date will be used for working capital and general corporate purposes (including consummating the Transactions and paying Transaction Costs). Letters of Credit will be used by the Borrowers and the Restricted Subsidiaries for general corporate purposes.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Lenders are willing to extend such credit to the Borrowers, and the Issuing Banks are willing to issue Letters of Credit for the account of each Borrower, on the terms and subject to the conditions set forth herein. Accordingly, the parties hereto agree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jc w:val="center"/>
        <w:ind w:right="-319"/>
        <w:spacing w:after="0"/>
        <w:tabs>
          <w:tab w:leader="none" w:pos="1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 below:</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EURIBOR Rate</w:t>
      </w:r>
      <w:r>
        <w:rPr>
          <w:rFonts w:ascii="Arial" w:cs="Arial" w:eastAsia="Arial" w:hAnsi="Arial"/>
          <w:sz w:val="22"/>
          <w:szCs w:val="22"/>
          <w:color w:val="auto"/>
        </w:rPr>
        <w:t>” means, with respect to any Eurocurrency Borrowing denominated in Euros for any Interest Period, an interest rate per annum equal to (a) the EURIBOR Rate for such Interest Period multiplied by (b) the Statutory Reserve Rate.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xml:space="preserve">” means, with respect to any Eurocurrency Borrowing denominated in dollars or Sterling for any Interest Period, an interest rate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(rounded upwards, if necessary, to the next 1/16 of 1%) equal to (a) the LIBO Rate for such Interest Period multiplied by (b) the Statutory Reserve Rate.</w:t>
      </w:r>
    </w:p>
    <w:p>
      <w:pPr>
        <w:spacing w:after="0" w:line="18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JPMCB (including its branches and affiliates), in its capacity as administrative agent and as collateral agent hereunder and under the other Loan Documents, and its successors in such capacity as provided in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ectPr>
          <w:pgSz w:w="11900" w:h="16838" w:orient="portrait"/>
          <w:cols w:equalWidth="0" w:num="1">
            <w:col w:w="11240"/>
          </w:cols>
          <w:pgMar w:left="320" w:top="1428"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Agent-Related Person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9.03(d)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Currencies</w:t>
      </w:r>
      <w:r>
        <w:rPr>
          <w:rFonts w:ascii="Arial" w:cs="Arial" w:eastAsia="Arial" w:hAnsi="Arial"/>
          <w:sz w:val="22"/>
          <w:szCs w:val="22"/>
          <w:color w:val="auto"/>
        </w:rPr>
        <w:t>” means dollars and each Alternative Currency.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assigned to such term in the introductory statement to this Credit Agreement.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greatest of (a) the Prime Rate in effect on such day, (b) the NYFRB Rate in effect on such day plus 1⁄2 of 1% and (c) the Adjusted LIBO Rate for a one month Interest Period on such day (or if such day is not a 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Adjusted LIBO Rate for any day shall be based on the LIBO Screen Rate (or if the LIBO Screen Rate is not available for such one month Interest Period, the LIBO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(for the avoidance of doubt, only until the Benchmark Replacement has been determined pursuant to </w:t>
      </w:r>
      <w:r>
        <w:rPr>
          <w:rFonts w:ascii="Arial" w:cs="Arial" w:eastAsia="Arial" w:hAnsi="Arial"/>
          <w:sz w:val="19"/>
          <w:szCs w:val="19"/>
          <w:u w:val="single" w:color="auto"/>
          <w:color w:val="auto"/>
        </w:rPr>
        <w:t>Section 2.14(b)</w:t>
      </w:r>
      <w:r>
        <w:rPr>
          <w:rFonts w:ascii="Arial" w:cs="Arial" w:eastAsia="Arial" w:hAnsi="Arial"/>
          <w:sz w:val="19"/>
          <w:szCs w:val="19"/>
          <w:color w:val="auto"/>
        </w:rPr>
        <w:t>), then the Alternate Base Rate shall be the greater of clauses (a) and (b) above and shall be determined without reference to clause (c) above. For the avoidance of doubt, if the Alternate Base Rate as determined pursuant to the foregoing would be less than 1.75%, such rate shall be deemed to be 1.75% for purposes of this Agreement.</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w:t>
      </w:r>
      <w:r>
        <w:rPr>
          <w:rFonts w:ascii="Arial" w:cs="Arial" w:eastAsia="Arial" w:hAnsi="Arial"/>
          <w:sz w:val="22"/>
          <w:szCs w:val="22"/>
          <w:color w:val="auto"/>
        </w:rPr>
        <w:t xml:space="preserve">” means Euros, Sterling and any additional currencies determined after the First Amendment Effective Date by mutual agreement of the Borrowers, the Lenders, the Issuing Banks and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such currency is a lawful currency that is readily available, freely transferable and not restricted and able to be converted into dollars.</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Equivalent</w:t>
      </w:r>
      <w:r>
        <w:rPr>
          <w:rFonts w:ascii="Arial" w:cs="Arial" w:eastAsia="Arial" w:hAnsi="Arial"/>
          <w:sz w:val="19"/>
          <w:szCs w:val="19"/>
          <w:color w:val="auto"/>
        </w:rPr>
        <w: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79" w:name="page80"/>
    <w:bookmarkEnd w:id="79"/>
    <w:p>
      <w:pPr>
        <w:jc w:val="both"/>
        <w:spacing w:after="0" w:line="312" w:lineRule="auto"/>
        <w:rPr>
          <w:sz w:val="20"/>
          <w:szCs w:val="20"/>
          <w:color w:val="auto"/>
        </w:rPr>
      </w:pPr>
      <w:r>
        <w:rPr>
          <w:rFonts w:ascii="Arial" w:cs="Arial" w:eastAsia="Arial" w:hAnsi="Arial"/>
          <w:sz w:val="19"/>
          <w:szCs w:val="19"/>
          <w:color w:val="auto"/>
        </w:rPr>
        <w:t>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Document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9.06(b)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the Borrowers or any of their Affiliates concerning or relating to bribery or corruption.</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Percentage</w:t>
      </w:r>
      <w:r>
        <w:rPr>
          <w:rFonts w:ascii="Arial" w:cs="Arial" w:eastAsia="Arial" w:hAnsi="Arial"/>
          <w:sz w:val="21"/>
          <w:szCs w:val="21"/>
          <w:color w:val="auto"/>
        </w:rPr>
        <w:t>” means, at any time with respect to any Revolving Lender, the percentage of the Total Commitments represented by such Lender’s Commitment at such time. If the Commitments have terminated or expired, the Applicable Percentages shall be determined based upon the Commitments most recently in effect, giving effect to any assignments of Revolving Loans and LC Exposures that occur after such termination or expiration.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Rate</w:t>
      </w:r>
      <w:r>
        <w:rPr>
          <w:rFonts w:ascii="Arial" w:cs="Arial" w:eastAsia="Arial" w:hAnsi="Arial"/>
          <w:sz w:val="21"/>
          <w:szCs w:val="21"/>
          <w:color w:val="auto"/>
        </w:rPr>
        <w:t xml:space="preserve">” means, for any day, (a) with respect to any Revolving Loan that is an ABR Loan, (i) initially 2.50% per annum and (ii) from and after the date on which the Company delivers financial statements for the first full fiscal quarter ending after the Effective Date pursuant to </w:t>
      </w:r>
      <w:r>
        <w:rPr>
          <w:rFonts w:ascii="Arial" w:cs="Arial" w:eastAsia="Arial" w:hAnsi="Arial"/>
          <w:sz w:val="21"/>
          <w:szCs w:val="21"/>
          <w:u w:val="single" w:color="auto"/>
          <w:color w:val="auto"/>
        </w:rPr>
        <w:t>Section 5.01(b)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Pricing Grid Date</w:t>
      </w:r>
      <w:r>
        <w:rPr>
          <w:rFonts w:ascii="Arial" w:cs="Arial" w:eastAsia="Arial" w:hAnsi="Arial"/>
          <w:sz w:val="21"/>
          <w:szCs w:val="21"/>
          <w:color w:val="auto"/>
        </w:rPr>
        <w:t xml:space="preserve">”), the applicable rate per annum set forth in the table below under the caption “ABR Loans” based upon the Total Leverage Ratio as of the end of the most recently ended fiscal quarter for which financial statements are available, (b) with respect to any Revolving Loan that is a Eurocurrency Loan, (i) initially 3.50% per annum and (ii) from and after the Pricing Grid Date, the applicable rate per annum set forth in the table below under the caption “Eurocurrency Loans” based upon the Total Leverage Ratio as of the end of the most recently ended fiscal quarter for which financial statements were delivered in accordance with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and (c) with respect to the commitment fees payable hereunder in respect of Revolving Loans, (i) initially 0.50% and (ii) from and after the Pricing Grid Date, the applicable rate per annum set forth in the table below under the caption “Commitment Fee” based upon the Total Leverage Ratio as of the end of the most recently ended fiscal quarter for which financial statements were delivered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5.01</w:t>
      </w:r>
      <w:r>
        <w:rPr>
          <w:rFonts w:ascii="Arial" w:cs="Arial" w:eastAsia="Arial" w:hAnsi="Arial"/>
          <w:sz w:val="21"/>
          <w:szCs w:val="21"/>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0" w:type="dxa"/>
            <w:vAlign w:val="bottom"/>
          </w:tcPr>
          <w:p>
            <w:pPr>
              <w:ind w:left="80"/>
              <w:spacing w:after="0"/>
              <w:rPr>
                <w:sz w:val="20"/>
                <w:szCs w:val="20"/>
                <w:color w:val="auto"/>
              </w:rPr>
            </w:pPr>
            <w:r>
              <w:rPr>
                <w:rFonts w:ascii="Arial" w:cs="Arial" w:eastAsia="Arial" w:hAnsi="Arial"/>
                <w:sz w:val="20"/>
                <w:szCs w:val="20"/>
                <w:b w:val="1"/>
                <w:bCs w:val="1"/>
                <w:color w:val="auto"/>
              </w:rPr>
              <w:t>Level</w:t>
            </w:r>
          </w:p>
        </w:tc>
        <w:tc>
          <w:tcPr>
            <w:tcW w:w="3520" w:type="dxa"/>
            <w:vAlign w:val="bottom"/>
            <w:gridSpan w:val="3"/>
          </w:tcPr>
          <w:p>
            <w:pPr>
              <w:ind w:left="1180"/>
              <w:spacing w:after="0"/>
              <w:rPr>
                <w:sz w:val="20"/>
                <w:szCs w:val="20"/>
                <w:color w:val="auto"/>
              </w:rPr>
            </w:pPr>
            <w:r>
              <w:rPr>
                <w:rFonts w:ascii="Arial" w:cs="Arial" w:eastAsia="Arial" w:hAnsi="Arial"/>
                <w:sz w:val="20"/>
                <w:szCs w:val="20"/>
                <w:b w:val="1"/>
                <w:bCs w:val="1"/>
                <w:color w:val="auto"/>
              </w:rPr>
              <w:t>Total Leverage Ratio</w:t>
            </w:r>
          </w:p>
        </w:tc>
        <w:tc>
          <w:tcPr>
            <w:tcW w:w="2500" w:type="dxa"/>
            <w:vAlign w:val="bottom"/>
          </w:tcPr>
          <w:p>
            <w:pPr>
              <w:jc w:val="right"/>
              <w:ind w:right="101"/>
              <w:spacing w:after="0"/>
              <w:rPr>
                <w:sz w:val="20"/>
                <w:szCs w:val="20"/>
                <w:color w:val="auto"/>
              </w:rPr>
            </w:pPr>
            <w:r>
              <w:rPr>
                <w:rFonts w:ascii="Arial" w:cs="Arial" w:eastAsia="Arial" w:hAnsi="Arial"/>
                <w:sz w:val="20"/>
                <w:szCs w:val="20"/>
                <w:b w:val="1"/>
                <w:bCs w:val="1"/>
                <w:color w:val="auto"/>
              </w:rPr>
              <w:t>Eurocurrency Loans</w:t>
            </w:r>
          </w:p>
        </w:tc>
        <w:tc>
          <w:tcPr>
            <w:tcW w:w="1460" w:type="dxa"/>
            <w:vAlign w:val="bottom"/>
          </w:tcPr>
          <w:p>
            <w:pPr>
              <w:jc w:val="right"/>
              <w:ind w:right="221"/>
              <w:spacing w:after="0"/>
              <w:rPr>
                <w:sz w:val="20"/>
                <w:szCs w:val="20"/>
                <w:color w:val="auto"/>
              </w:rPr>
            </w:pPr>
            <w:r>
              <w:rPr>
                <w:rFonts w:ascii="Arial" w:cs="Arial" w:eastAsia="Arial" w:hAnsi="Arial"/>
                <w:sz w:val="20"/>
                <w:szCs w:val="20"/>
                <w:b w:val="1"/>
                <w:bCs w:val="1"/>
                <w:color w:val="auto"/>
              </w:rPr>
              <w:t>ABR Loans</w:t>
            </w:r>
          </w:p>
        </w:tc>
        <w:tc>
          <w:tcPr>
            <w:tcW w:w="1780" w:type="dxa"/>
            <w:vAlign w:val="bottom"/>
          </w:tcPr>
          <w:p>
            <w:pPr>
              <w:jc w:val="right"/>
              <w:ind w:right="81"/>
              <w:spacing w:after="0"/>
              <w:rPr>
                <w:sz w:val="20"/>
                <w:szCs w:val="20"/>
                <w:color w:val="auto"/>
              </w:rPr>
            </w:pPr>
            <w:r>
              <w:rPr>
                <w:rFonts w:ascii="Arial" w:cs="Arial" w:eastAsia="Arial" w:hAnsi="Arial"/>
                <w:sz w:val="20"/>
                <w:szCs w:val="20"/>
                <w:b w:val="1"/>
                <w:bCs w:val="1"/>
                <w:color w:val="auto"/>
                <w:w w:val="97"/>
              </w:rPr>
              <w:t>Commitment Fee</w:t>
            </w:r>
          </w:p>
        </w:tc>
      </w:tr>
      <w:tr>
        <w:trPr>
          <w:trHeight w:val="23"/>
        </w:trPr>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4"/>
        </w:trPr>
        <w:tc>
          <w:tcPr>
            <w:tcW w:w="800" w:type="dxa"/>
            <w:vAlign w:val="bottom"/>
          </w:tcPr>
          <w:p>
            <w:pPr>
              <w:ind w:left="80"/>
              <w:spacing w:after="0"/>
              <w:rPr>
                <w:sz w:val="20"/>
                <w:szCs w:val="20"/>
                <w:color w:val="auto"/>
              </w:rPr>
            </w:pPr>
            <w:r>
              <w:rPr>
                <w:rFonts w:ascii="Arial" w:cs="Arial" w:eastAsia="Arial" w:hAnsi="Arial"/>
                <w:sz w:val="20"/>
                <w:szCs w:val="20"/>
                <w:color w:val="auto"/>
              </w:rPr>
              <w:t>I</w:t>
            </w:r>
          </w:p>
        </w:tc>
        <w:tc>
          <w:tcPr>
            <w:tcW w:w="3520" w:type="dxa"/>
            <w:vAlign w:val="bottom"/>
            <w:gridSpan w:val="3"/>
          </w:tcPr>
          <w:p>
            <w:pPr>
              <w:ind w:left="240"/>
              <w:spacing w:after="0"/>
              <w:rPr>
                <w:sz w:val="20"/>
                <w:szCs w:val="20"/>
                <w:color w:val="auto"/>
              </w:rPr>
            </w:pPr>
            <w:r>
              <w:rPr>
                <w:rFonts w:ascii="Arial" w:cs="Arial" w:eastAsia="Arial" w:hAnsi="Arial"/>
                <w:sz w:val="20"/>
                <w:szCs w:val="20"/>
                <w:color w:val="auto"/>
              </w:rPr>
              <w:t>&gt; 4.00 to 1.00</w:t>
            </w:r>
          </w:p>
        </w:tc>
        <w:tc>
          <w:tcPr>
            <w:tcW w:w="2500" w:type="dxa"/>
            <w:vAlign w:val="bottom"/>
          </w:tcPr>
          <w:p>
            <w:pPr>
              <w:jc w:val="right"/>
              <w:ind w:right="81"/>
              <w:spacing w:after="0"/>
              <w:rPr>
                <w:sz w:val="20"/>
                <w:szCs w:val="20"/>
                <w:color w:val="auto"/>
              </w:rPr>
            </w:pPr>
            <w:r>
              <w:rPr>
                <w:rFonts w:ascii="Arial" w:cs="Arial" w:eastAsia="Arial" w:hAnsi="Arial"/>
                <w:sz w:val="20"/>
                <w:szCs w:val="20"/>
                <w:color w:val="auto"/>
              </w:rPr>
              <w:t>3.50%</w:t>
            </w: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2.50%</w:t>
            </w:r>
          </w:p>
        </w:tc>
        <w:tc>
          <w:tcPr>
            <w:tcW w:w="1780" w:type="dxa"/>
            <w:vAlign w:val="bottom"/>
          </w:tcPr>
          <w:p>
            <w:pPr>
              <w:jc w:val="right"/>
              <w:spacing w:after="0"/>
              <w:rPr>
                <w:sz w:val="20"/>
                <w:szCs w:val="20"/>
                <w:color w:val="auto"/>
              </w:rPr>
            </w:pPr>
            <w:r>
              <w:rPr>
                <w:rFonts w:ascii="Arial" w:cs="Arial" w:eastAsia="Arial" w:hAnsi="Arial"/>
                <w:sz w:val="20"/>
                <w:szCs w:val="20"/>
                <w:color w:val="auto"/>
              </w:rPr>
              <w:t>0.500%</w:t>
            </w:r>
          </w:p>
        </w:tc>
      </w:tr>
      <w:tr>
        <w:trPr>
          <w:trHeight w:val="239"/>
        </w:trPr>
        <w:tc>
          <w:tcPr>
            <w:tcW w:w="800" w:type="dxa"/>
            <w:vAlign w:val="bottom"/>
          </w:tcPr>
          <w:p>
            <w:pPr>
              <w:ind w:left="80"/>
              <w:spacing w:after="0"/>
              <w:rPr>
                <w:sz w:val="20"/>
                <w:szCs w:val="20"/>
                <w:color w:val="auto"/>
              </w:rPr>
            </w:pPr>
            <w:r>
              <w:rPr>
                <w:rFonts w:ascii="Arial" w:cs="Arial" w:eastAsia="Arial" w:hAnsi="Arial"/>
                <w:sz w:val="20"/>
                <w:szCs w:val="20"/>
                <w:color w:val="auto"/>
              </w:rPr>
              <w:t>II</w:t>
            </w:r>
          </w:p>
        </w:tc>
        <w:tc>
          <w:tcPr>
            <w:tcW w:w="3520" w:type="dxa"/>
            <w:vAlign w:val="bottom"/>
            <w:gridSpan w:val="3"/>
          </w:tcPr>
          <w:p>
            <w:pPr>
              <w:ind w:left="240"/>
              <w:spacing w:after="0"/>
              <w:rPr>
                <w:sz w:val="20"/>
                <w:szCs w:val="20"/>
                <w:color w:val="auto"/>
              </w:rPr>
            </w:pPr>
            <w:r>
              <w:rPr>
                <w:rFonts w:ascii="Arial" w:cs="Arial" w:eastAsia="Arial" w:hAnsi="Arial"/>
                <w:sz w:val="20"/>
                <w:szCs w:val="20"/>
                <w:color w:val="auto"/>
              </w:rPr>
              <w:t>≤ 4.00 to 1.00 but &gt; 3.00 to 1.00</w:t>
            </w:r>
          </w:p>
        </w:tc>
        <w:tc>
          <w:tcPr>
            <w:tcW w:w="2500" w:type="dxa"/>
            <w:vAlign w:val="bottom"/>
          </w:tcPr>
          <w:p>
            <w:pPr>
              <w:jc w:val="right"/>
              <w:ind w:right="81"/>
              <w:spacing w:after="0"/>
              <w:rPr>
                <w:sz w:val="20"/>
                <w:szCs w:val="20"/>
                <w:color w:val="auto"/>
              </w:rPr>
            </w:pPr>
            <w:r>
              <w:rPr>
                <w:rFonts w:ascii="Arial" w:cs="Arial" w:eastAsia="Arial" w:hAnsi="Arial"/>
                <w:sz w:val="20"/>
                <w:szCs w:val="20"/>
                <w:color w:val="auto"/>
              </w:rPr>
              <w:t>3.00%</w:t>
            </w: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2.00%</w:t>
            </w:r>
          </w:p>
        </w:tc>
        <w:tc>
          <w:tcPr>
            <w:tcW w:w="1780" w:type="dxa"/>
            <w:vAlign w:val="bottom"/>
          </w:tcPr>
          <w:p>
            <w:pPr>
              <w:jc w:val="right"/>
              <w:spacing w:after="0"/>
              <w:rPr>
                <w:sz w:val="20"/>
                <w:szCs w:val="20"/>
                <w:color w:val="auto"/>
              </w:rPr>
            </w:pPr>
            <w:r>
              <w:rPr>
                <w:rFonts w:ascii="Arial" w:cs="Arial" w:eastAsia="Arial" w:hAnsi="Arial"/>
                <w:sz w:val="20"/>
                <w:szCs w:val="20"/>
                <w:color w:val="auto"/>
              </w:rPr>
              <w:t>0.375%</w:t>
            </w:r>
          </w:p>
        </w:tc>
      </w:tr>
      <w:tr>
        <w:trPr>
          <w:trHeight w:val="308"/>
        </w:trPr>
        <w:tc>
          <w:tcPr>
            <w:tcW w:w="800" w:type="dxa"/>
            <w:vAlign w:val="bottom"/>
          </w:tcPr>
          <w:p>
            <w:pPr>
              <w:ind w:left="80"/>
              <w:spacing w:after="0"/>
              <w:rPr>
                <w:sz w:val="20"/>
                <w:szCs w:val="20"/>
                <w:color w:val="auto"/>
              </w:rPr>
            </w:pPr>
            <w:r>
              <w:rPr>
                <w:rFonts w:ascii="Arial" w:cs="Arial" w:eastAsia="Arial" w:hAnsi="Arial"/>
                <w:sz w:val="20"/>
                <w:szCs w:val="20"/>
                <w:color w:val="auto"/>
              </w:rPr>
              <w:t>III</w:t>
            </w:r>
          </w:p>
        </w:tc>
        <w:tc>
          <w:tcPr>
            <w:tcW w:w="1700" w:type="dxa"/>
            <w:vAlign w:val="bottom"/>
          </w:tcPr>
          <w:p>
            <w:pPr>
              <w:ind w:left="240"/>
              <w:spacing w:after="0"/>
              <w:rPr>
                <w:sz w:val="20"/>
                <w:szCs w:val="20"/>
                <w:color w:val="auto"/>
              </w:rPr>
            </w:pPr>
            <w:r>
              <w:rPr>
                <w:rFonts w:ascii="Arial" w:cs="Arial" w:eastAsia="Arial" w:hAnsi="Arial"/>
                <w:sz w:val="20"/>
                <w:szCs w:val="20"/>
                <w:color w:val="auto"/>
              </w:rPr>
              <w:t>&lt; 3.00 to 1.00</w:t>
            </w:r>
          </w:p>
        </w:tc>
        <w:tc>
          <w:tcPr>
            <w:tcW w:w="10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2500" w:type="dxa"/>
            <w:vAlign w:val="bottom"/>
          </w:tcPr>
          <w:p>
            <w:pPr>
              <w:jc w:val="right"/>
              <w:ind w:right="81"/>
              <w:spacing w:after="0"/>
              <w:rPr>
                <w:sz w:val="20"/>
                <w:szCs w:val="20"/>
                <w:color w:val="auto"/>
              </w:rPr>
            </w:pPr>
            <w:r>
              <w:rPr>
                <w:rFonts w:ascii="Arial" w:cs="Arial" w:eastAsia="Arial" w:hAnsi="Arial"/>
                <w:sz w:val="20"/>
                <w:szCs w:val="20"/>
                <w:color w:val="auto"/>
              </w:rPr>
              <w:t>2.50%</w:t>
            </w: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1.50%</w:t>
            </w:r>
          </w:p>
        </w:tc>
        <w:tc>
          <w:tcPr>
            <w:tcW w:w="1780" w:type="dxa"/>
            <w:vAlign w:val="bottom"/>
          </w:tcPr>
          <w:p>
            <w:pPr>
              <w:jc w:val="right"/>
              <w:spacing w:after="0"/>
              <w:rPr>
                <w:sz w:val="20"/>
                <w:szCs w:val="20"/>
                <w:color w:val="auto"/>
              </w:rPr>
            </w:pPr>
            <w:r>
              <w:rPr>
                <w:rFonts w:ascii="Arial" w:cs="Arial" w:eastAsia="Arial" w:hAnsi="Arial"/>
                <w:sz w:val="20"/>
                <w:szCs w:val="20"/>
                <w:color w:val="auto"/>
              </w:rPr>
              <w:t>0.250%</w:t>
            </w:r>
          </w:p>
        </w:tc>
      </w:tr>
    </w:tbl>
    <w:p>
      <w:pPr>
        <w:spacing w:after="0" w:line="200" w:lineRule="exact"/>
        <w:rPr>
          <w:sz w:val="20"/>
          <w:szCs w:val="20"/>
          <w:color w:val="auto"/>
        </w:rPr>
      </w:pPr>
    </w:p>
    <w:p>
      <w:pPr>
        <w:spacing w:after="0" w:line="2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For purposes of this definition, each change in the Applicable Rate resulting from a change in the Total Leverage Ratio shall be effective during the period commencing on and including the date of delivery to the Administrative Agent pursuant to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5.01(b)</w:t>
      </w:r>
      <w:r>
        <w:rPr>
          <w:rFonts w:ascii="Arial" w:cs="Arial" w:eastAsia="Arial" w:hAnsi="Arial"/>
          <w:sz w:val="22"/>
          <w:szCs w:val="22"/>
          <w:color w:val="auto"/>
        </w:rPr>
        <w:t xml:space="preserve"> of the consolidated financial statements indicating such change and ending on the date immediately preceding the effective date of the next such change;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Total Leverage Ratio shall be deemed to be in Level I at the option of the Administrative Agent or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22"/>
          <w:szCs w:val="22"/>
          <w:color w:val="auto"/>
        </w:rPr>
        <w:t xml:space="preserve">the request of the Required Lenders if the Company fails to deliver the consolidated financial statements required to be delivered by it pursuant to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5.01(b)</w:t>
      </w:r>
      <w:r>
        <w:rPr>
          <w:rFonts w:ascii="Arial" w:cs="Arial" w:eastAsia="Arial" w:hAnsi="Arial"/>
          <w:sz w:val="22"/>
          <w:szCs w:val="22"/>
          <w:color w:val="auto"/>
        </w:rPr>
        <w:t xml:space="preserve"> or the certificate of a Financial Officer required to be delivered by it pursuant to </w:t>
      </w:r>
      <w:r>
        <w:rPr>
          <w:rFonts w:ascii="Arial" w:cs="Arial" w:eastAsia="Arial" w:hAnsi="Arial"/>
          <w:sz w:val="22"/>
          <w:szCs w:val="22"/>
          <w:u w:val="single" w:color="auto"/>
          <w:color w:val="auto"/>
        </w:rPr>
        <w:t>Section 5.01(c)</w:t>
      </w:r>
      <w:r>
        <w:rPr>
          <w:rFonts w:ascii="Arial" w:cs="Arial" w:eastAsia="Arial" w:hAnsi="Arial"/>
          <w:sz w:val="22"/>
          <w:szCs w:val="22"/>
          <w:color w:val="auto"/>
        </w:rPr>
        <w:t xml:space="preserve"> during the period from the expiration of the time for delivery thereof until such consolidated financial statements and such certificate are delivered.</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with respect to any Lender or Eligible Assignee, any Person (other than a natural person) that is engaged in making, purchasing, holding or investing in commercial loans and similar extensions of credit in the ordinary course of its activities and that is administered, advised or managed by (a) such Lender or Eligible Assignee, (b) an Affiliate of such Lender or Eligible Assignee or (c) an entity or an Affiliate of an entity that administers, advises or manages such Lender or Eligible Assignee.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means, collectively, JPMorgan Chase Bank, N.A., Citigroup Global Markets Inc., DNB Markets, Inc., Société Générale, Sumitomo Mitsui Banking Corporation, Wells Fargo Securities, LLC and BofA Securities, Inc., in their capacities as joint lead arrangers and joint bookrunners for the credit facility provided for herein.</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Eligible Assignee (with the consent of any Person whose consent is required by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accepted by the Administrative Agent,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any other form approved by the Administrative Agent.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and including the Effective Date to but excluding the earlier of the Maturity Date and the date of termination of all the Commitments.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81" w:name="page82"/>
    <w:bookmarkEnd w:id="81"/>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Levy</w:t>
      </w:r>
      <w:r>
        <w:rPr>
          <w:rFonts w:ascii="Arial" w:cs="Arial" w:eastAsia="Arial" w:hAnsi="Arial"/>
          <w:sz w:val="19"/>
          <w:szCs w:val="19"/>
          <w:color w:val="auto"/>
        </w:rPr>
        <w:t xml:space="preserve">” means any amount payable by any Lender or any of its Affiliates on the basis of, or in relation to, its balance sheet or capital base or any part of that person or its liabilities or minimum regulatory capital or any combination thereof, including, without limitation, the UK bank levy contained in the Finance Act 2011, the French </w:t>
      </w:r>
      <w:r>
        <w:rPr>
          <w:rFonts w:ascii="Arial" w:cs="Arial" w:eastAsia="Arial" w:hAnsi="Arial"/>
          <w:sz w:val="19"/>
          <w:szCs w:val="19"/>
          <w:i w:val="1"/>
          <w:iCs w:val="1"/>
          <w:color w:val="auto"/>
        </w:rPr>
        <w:t>taxe pour le financement du fonds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de soutien aux collectivités territoriales </w:t>
      </w:r>
      <w:r>
        <w:rPr>
          <w:rFonts w:ascii="Arial" w:cs="Arial" w:eastAsia="Arial" w:hAnsi="Arial"/>
          <w:sz w:val="19"/>
          <w:szCs w:val="19"/>
          <w:color w:val="auto"/>
        </w:rPr>
        <w:t>as set out in Article 235 ter ZE bis of the French Tax Code, the German bank levy as set</w:t>
      </w:r>
      <w:r>
        <w:rPr>
          <w:rFonts w:ascii="Arial" w:cs="Arial" w:eastAsia="Arial" w:hAnsi="Arial"/>
          <w:sz w:val="19"/>
          <w:szCs w:val="19"/>
          <w:i w:val="1"/>
          <w:iCs w:val="1"/>
          <w:color w:val="auto"/>
        </w:rPr>
        <w:t xml:space="preserve"> </w:t>
      </w:r>
      <w:r>
        <w:rPr>
          <w:rFonts w:ascii="Arial" w:cs="Arial" w:eastAsia="Arial" w:hAnsi="Arial"/>
          <w:sz w:val="19"/>
          <w:szCs w:val="19"/>
          <w:color w:val="auto"/>
        </w:rPr>
        <w:t>out in the German Restructuring Fund Act 2010 (</w:t>
      </w:r>
      <w:r>
        <w:rPr>
          <w:rFonts w:ascii="Arial" w:cs="Arial" w:eastAsia="Arial" w:hAnsi="Arial"/>
          <w:sz w:val="19"/>
          <w:szCs w:val="19"/>
          <w:i w:val="1"/>
          <w:iCs w:val="1"/>
          <w:color w:val="auto"/>
        </w:rPr>
        <w:t>Restrukturierungsfondsgesetz</w:t>
      </w:r>
      <w:r>
        <w:rPr>
          <w:rFonts w:ascii="Arial" w:cs="Arial" w:eastAsia="Arial" w:hAnsi="Arial"/>
          <w:sz w:val="19"/>
          <w:szCs w:val="19"/>
          <w:color w:val="auto"/>
        </w:rPr>
        <w:t>), the Spanish bank levy (</w:t>
      </w:r>
      <w:r>
        <w:rPr>
          <w:rFonts w:ascii="Arial" w:cs="Arial" w:eastAsia="Arial" w:hAnsi="Arial"/>
          <w:sz w:val="19"/>
          <w:szCs w:val="19"/>
          <w:i w:val="1"/>
          <w:iCs w:val="1"/>
          <w:color w:val="auto"/>
        </w:rPr>
        <w:t>Impuesto sobre los</w:t>
      </w:r>
      <w:r>
        <w:rPr>
          <w:rFonts w:ascii="Arial" w:cs="Arial" w:eastAsia="Arial" w:hAnsi="Arial"/>
          <w:sz w:val="19"/>
          <w:szCs w:val="19"/>
          <w:color w:val="auto"/>
        </w:rPr>
        <w:t xml:space="preserve"> </w:t>
      </w:r>
      <w:r>
        <w:rPr>
          <w:rFonts w:ascii="Arial" w:cs="Arial" w:eastAsia="Arial" w:hAnsi="Arial"/>
          <w:sz w:val="19"/>
          <w:szCs w:val="19"/>
          <w:i w:val="1"/>
          <w:iCs w:val="1"/>
          <w:color w:val="auto"/>
        </w:rPr>
        <w:t>Depósitos en las Entidades de Crédito</w:t>
      </w:r>
      <w:r>
        <w:rPr>
          <w:rFonts w:ascii="Arial" w:cs="Arial" w:eastAsia="Arial" w:hAnsi="Arial"/>
          <w:sz w:val="19"/>
          <w:szCs w:val="19"/>
          <w:color w:val="auto"/>
        </w:rPr>
        <w:t>) as set out in the Law 16/2012 of 27 December 2012, or any levy or tax with a similar</w:t>
      </w:r>
      <w:r>
        <w:rPr>
          <w:rFonts w:ascii="Arial" w:cs="Arial" w:eastAsia="Arial" w:hAnsi="Arial"/>
          <w:sz w:val="19"/>
          <w:szCs w:val="19"/>
          <w:i w:val="1"/>
          <w:iCs w:val="1"/>
          <w:color w:val="auto"/>
        </w:rPr>
        <w:t xml:space="preserve"> </w:t>
      </w:r>
      <w:r>
        <w:rPr>
          <w:rFonts w:ascii="Arial" w:cs="Arial" w:eastAsia="Arial" w:hAnsi="Arial"/>
          <w:sz w:val="19"/>
          <w:szCs w:val="19"/>
          <w:color w:val="auto"/>
        </w:rPr>
        <w:t>basis or a similar purpose or any financial activities taxes (or other levies) of a kind imposed by any jurisdiction in the form existing at the Effective Date and/or which has been formally announced as proposed as at the Effective Date, or (if applicable) as at the date the relevant Lender accedes as a Lender to this Agreement.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or hereafter in effect, or any successor thereto.</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xml:space="preserve">” means, initially, the Relevant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Benchmark Transition Event, a Term SOFR Transition Event, a Term ESTR Transition Event or an Early Opt-in Election, as applicable, and its related Benchmark Replacement Date have occurred with respect to the Relevant Rate or the then-current Benchmark, then “Benchmark” means the applicable Benchmark Replacement to the extent that such Benchmark Replacement has replaced such prior benchmark rate pursuant to clause (b) or clause (c) of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means, for any Available Tenor, the first alternative set forth in the order below that can be determined by the Administrative Agent for the applicable Benchmark Replacement Date; provided that, in the case of any Loan denominated in an Other Agreed Currency, “Benchmark Replacement” shall mean the alternative set forth in (3) below:</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82" w:name="page83"/>
    <w:bookmarkEnd w:id="82"/>
    <w:p>
      <w:pPr>
        <w:ind w:left="660" w:firstLine="644"/>
        <w:spacing w:after="0" w:line="263" w:lineRule="auto"/>
        <w:tabs>
          <w:tab w:leader="none" w:pos="1681"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the case of any Loan denominated in dollars, the sum of: (a) Term SOFR and (b) the related Benchmark Replacement Adjustment,</w:t>
      </w:r>
    </w:p>
    <w:p>
      <w:pPr>
        <w:spacing w:after="0" w:line="174" w:lineRule="exact"/>
        <w:rPr>
          <w:rFonts w:ascii="Arial" w:cs="Arial" w:eastAsia="Arial" w:hAnsi="Arial"/>
          <w:sz w:val="22"/>
          <w:szCs w:val="22"/>
          <w:color w:val="auto"/>
        </w:rPr>
      </w:pPr>
    </w:p>
    <w:p>
      <w:pPr>
        <w:ind w:left="660" w:firstLine="644"/>
        <w:spacing w:after="0" w:line="263" w:lineRule="auto"/>
        <w:tabs>
          <w:tab w:leader="none" w:pos="16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the case of any Loan denominated in Sterling, the sum of (a) Daily Simple SONIA and (b) the related Benchmark Replacement Adjustment,</w:t>
      </w:r>
    </w:p>
    <w:p>
      <w:pPr>
        <w:spacing w:after="0" w:line="174" w:lineRule="exact"/>
        <w:rPr>
          <w:rFonts w:ascii="Arial" w:cs="Arial" w:eastAsia="Arial" w:hAnsi="Arial"/>
          <w:sz w:val="22"/>
          <w:szCs w:val="22"/>
          <w:color w:val="auto"/>
        </w:rPr>
      </w:pPr>
    </w:p>
    <w:p>
      <w:pPr>
        <w:ind w:left="660" w:right="20" w:firstLine="644"/>
        <w:spacing w:after="0" w:line="263" w:lineRule="auto"/>
        <w:tabs>
          <w:tab w:leader="none" w:pos="1677"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the case of any Loan denominated in Euros, the sum of (a) Term ESTR and (b) the related Benchmark Replacement Adjustment;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w:t>
      </w:r>
    </w:p>
    <w:p>
      <w:pPr>
        <w:spacing w:after="0" w:line="220" w:lineRule="exact"/>
        <w:rPr>
          <w:sz w:val="20"/>
          <w:szCs w:val="20"/>
          <w:color w:val="auto"/>
        </w:rPr>
      </w:pPr>
    </w:p>
    <w:p>
      <w:pPr>
        <w:ind w:left="660" w:right="20" w:firstLine="644"/>
        <w:spacing w:after="0" w:line="263" w:lineRule="auto"/>
        <w:tabs>
          <w:tab w:leader="none" w:pos="1698" w:val="left"/>
        </w:tabs>
        <w:numPr>
          <w:ilvl w:val="2"/>
          <w:numId w:val="20"/>
        </w:numPr>
        <w:rPr>
          <w:rFonts w:ascii="Arial" w:cs="Arial" w:eastAsia="Arial" w:hAnsi="Arial"/>
          <w:sz w:val="22"/>
          <w:szCs w:val="22"/>
          <w:color w:val="auto"/>
        </w:rPr>
      </w:pPr>
      <w:r>
        <w:rPr>
          <w:rFonts w:ascii="Arial" w:cs="Arial" w:eastAsia="Arial" w:hAnsi="Arial"/>
          <w:sz w:val="22"/>
          <w:szCs w:val="22"/>
          <w:color w:val="auto"/>
        </w:rPr>
        <w:t>in the case of any Loan denominated in dollars, the sum of: (a) Daily Simple SOFR and (b) the related Benchmark Replacement Adjustment,</w:t>
      </w:r>
    </w:p>
    <w:p>
      <w:pPr>
        <w:spacing w:after="0" w:line="174" w:lineRule="exact"/>
        <w:rPr>
          <w:rFonts w:ascii="Arial" w:cs="Arial" w:eastAsia="Arial" w:hAnsi="Arial"/>
          <w:sz w:val="22"/>
          <w:szCs w:val="22"/>
          <w:color w:val="auto"/>
        </w:rPr>
      </w:pPr>
    </w:p>
    <w:p>
      <w:pPr>
        <w:ind w:left="660" w:firstLine="644"/>
        <w:spacing w:after="0" w:line="263" w:lineRule="auto"/>
        <w:tabs>
          <w:tab w:leader="none" w:pos="1695" w:val="left"/>
        </w:tabs>
        <w:numPr>
          <w:ilvl w:val="2"/>
          <w:numId w:val="20"/>
        </w:numPr>
        <w:rPr>
          <w:rFonts w:ascii="Arial" w:cs="Arial" w:eastAsia="Arial" w:hAnsi="Arial"/>
          <w:sz w:val="22"/>
          <w:szCs w:val="22"/>
          <w:color w:val="auto"/>
        </w:rPr>
      </w:pPr>
      <w:r>
        <w:rPr>
          <w:rFonts w:ascii="Arial" w:cs="Arial" w:eastAsia="Arial" w:hAnsi="Arial"/>
          <w:sz w:val="22"/>
          <w:szCs w:val="22"/>
          <w:color w:val="auto"/>
        </w:rPr>
        <w:t>in the case of any Loan denominated in Euros, the sum of (a) Daily Simple ESTR and (b) the related Benchmark Replacement Adjustment;</w:t>
      </w:r>
    </w:p>
    <w:p>
      <w:pPr>
        <w:spacing w:after="0" w:line="174" w:lineRule="exact"/>
        <w:rPr>
          <w:rFonts w:ascii="Arial" w:cs="Arial" w:eastAsia="Arial" w:hAnsi="Arial"/>
          <w:sz w:val="22"/>
          <w:szCs w:val="22"/>
          <w:color w:val="auto"/>
        </w:rPr>
      </w:pPr>
    </w:p>
    <w:p>
      <w:pPr>
        <w:jc w:val="both"/>
        <w:ind w:firstLine="656"/>
        <w:spacing w:after="0" w:line="285" w:lineRule="auto"/>
        <w:tabs>
          <w:tab w:leader="none" w:pos="966"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related Benchmark Replacement Adjustment;</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(1)(A) or (1)(C),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(x)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(1)(A) of this definition (subject to the first proviso above) and (y) with respect to a Loan denominated in Euros, notwithstanding anything to the contrary in this Agreement or in any other Loan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(1)(C) of this definition (subject to the first proviso above).</w:t>
      </w:r>
    </w:p>
    <w:p>
      <w:pPr>
        <w:spacing w:after="0" w:line="16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83" w:name="page84"/>
    <w:bookmarkEnd w:id="83"/>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85" w:lineRule="exact"/>
        <w:rPr>
          <w:sz w:val="20"/>
          <w:szCs w:val="20"/>
          <w:color w:val="auto"/>
        </w:rPr>
      </w:pPr>
    </w:p>
    <w:p>
      <w:pPr>
        <w:ind w:firstLine="656"/>
        <w:spacing w:after="0" w:line="263" w:lineRule="auto"/>
        <w:tabs>
          <w:tab w:leader="none" w:pos="962" w:val="left"/>
        </w:tabs>
        <w:numPr>
          <w:ilvl w:val="0"/>
          <w:numId w:val="23"/>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first alternative set forth in the order below that can be determined by the Administrative Agent:</w:t>
      </w:r>
    </w:p>
    <w:p>
      <w:pPr>
        <w:spacing w:after="0" w:line="175" w:lineRule="exact"/>
        <w:rPr>
          <w:sz w:val="20"/>
          <w:szCs w:val="20"/>
          <w:color w:val="auto"/>
        </w:rPr>
      </w:pPr>
    </w:p>
    <w:p>
      <w:pPr>
        <w:jc w:val="both"/>
        <w:ind w:firstLine="656"/>
        <w:spacing w:after="0" w:line="250" w:lineRule="auto"/>
        <w:tabs>
          <w:tab w:leader="none" w:pos="952"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87" w:lineRule="exact"/>
        <w:rPr>
          <w:rFonts w:ascii="Arial" w:cs="Arial" w:eastAsia="Arial" w:hAnsi="Arial"/>
          <w:sz w:val="22"/>
          <w:szCs w:val="22"/>
          <w:color w:val="auto"/>
        </w:rPr>
      </w:pPr>
    </w:p>
    <w:p>
      <w:pPr>
        <w:jc w:val="both"/>
        <w:ind w:firstLine="656"/>
        <w:spacing w:after="0" w:line="250" w:lineRule="auto"/>
        <w:tabs>
          <w:tab w:leader="none" w:pos="963"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8" w:lineRule="exact"/>
        <w:rPr>
          <w:sz w:val="20"/>
          <w:szCs w:val="20"/>
          <w:color w:val="auto"/>
        </w:rPr>
      </w:pPr>
    </w:p>
    <w:p>
      <w:pPr>
        <w:jc w:val="both"/>
        <w:ind w:firstLine="656"/>
        <w:spacing w:after="0" w:line="259" w:lineRule="auto"/>
        <w:tabs>
          <w:tab w:leader="none" w:pos="994" w:val="left"/>
        </w:tabs>
        <w:numPr>
          <w:ilvl w:val="0"/>
          <w:numId w:val="25"/>
        </w:numPr>
        <w:rPr>
          <w:rFonts w:ascii="Arial" w:cs="Arial" w:eastAsia="Arial" w:hAnsi="Arial"/>
          <w:sz w:val="21"/>
          <w:szCs w:val="21"/>
          <w:color w:val="auto"/>
        </w:rPr>
      </w:pPr>
      <w:r>
        <w:rPr>
          <w:rFonts w:ascii="Arial" w:cs="Arial" w:eastAsia="Arial" w:hAnsi="Arial"/>
          <w:sz w:val="21"/>
          <w:szCs w:val="21"/>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84" w:name="page85"/>
    <w:bookmarkEnd w:id="84"/>
    <w:p>
      <w:pPr>
        <w:spacing w:after="0" w:line="343" w:lineRule="auto"/>
        <w:rPr>
          <w:sz w:val="20"/>
          <w:szCs w:val="20"/>
          <w:color w:val="auto"/>
        </w:rPr>
      </w:pPr>
      <w:r>
        <w:rPr>
          <w:rFonts w:ascii="Arial" w:cs="Arial" w:eastAsia="Arial" w:hAnsi="Arial"/>
          <w:sz w:val="19"/>
          <w:szCs w:val="19"/>
          <w:color w:val="auto"/>
        </w:rPr>
        <w:t>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0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with respect to any Benchmark, the earliest to occur of the following events with respect to such then-current Benchmark:</w:t>
      </w:r>
    </w:p>
    <w:p>
      <w:pPr>
        <w:spacing w:after="0" w:line="175" w:lineRule="exact"/>
        <w:rPr>
          <w:sz w:val="20"/>
          <w:szCs w:val="20"/>
          <w:color w:val="auto"/>
        </w:rPr>
      </w:pPr>
    </w:p>
    <w:p>
      <w:pPr>
        <w:jc w:val="both"/>
        <w:ind w:firstLine="656"/>
        <w:spacing w:after="0" w:line="250" w:lineRule="auto"/>
        <w:tabs>
          <w:tab w:leader="none" w:pos="956" w:val="left"/>
        </w:tabs>
        <w:numPr>
          <w:ilvl w:val="1"/>
          <w:numId w:val="26"/>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87" w:lineRule="exact"/>
        <w:rPr>
          <w:rFonts w:ascii="Arial" w:cs="Arial" w:eastAsia="Arial" w:hAnsi="Arial"/>
          <w:sz w:val="22"/>
          <w:szCs w:val="22"/>
          <w:color w:val="auto"/>
        </w:rPr>
      </w:pPr>
    </w:p>
    <w:p>
      <w:pPr>
        <w:ind w:firstLine="656"/>
        <w:spacing w:after="0" w:line="263" w:lineRule="auto"/>
        <w:tabs>
          <w:tab w:leader="none" w:pos="992" w:val="left"/>
        </w:tabs>
        <w:numPr>
          <w:ilvl w:val="1"/>
          <w:numId w:val="26"/>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1"/>
          <w:numId w:val="26"/>
        </w:numPr>
        <w:rPr>
          <w:rFonts w:ascii="Arial" w:cs="Arial" w:eastAsia="Arial" w:hAnsi="Arial"/>
          <w:sz w:val="19"/>
          <w:szCs w:val="19"/>
          <w:color w:val="auto"/>
        </w:rPr>
      </w:pPr>
      <w:r>
        <w:rPr>
          <w:rFonts w:ascii="Arial" w:cs="Arial" w:eastAsia="Arial" w:hAnsi="Arial"/>
          <w:sz w:val="19"/>
          <w:szCs w:val="19"/>
          <w:color w:val="auto"/>
        </w:rPr>
        <w:t>in the case of a Term SOFR Transition Event or a Term ESTR Transition Event, as applicable, the date that is thirty</w:t>
      </w:r>
    </w:p>
    <w:p>
      <w:pPr>
        <w:spacing w:after="0" w:line="55" w:lineRule="exact"/>
        <w:rPr>
          <w:rFonts w:ascii="Arial" w:cs="Arial" w:eastAsia="Arial" w:hAnsi="Arial"/>
          <w:sz w:val="19"/>
          <w:szCs w:val="19"/>
          <w:color w:val="auto"/>
        </w:rPr>
      </w:pPr>
    </w:p>
    <w:p>
      <w:pPr>
        <w:ind w:firstLine="8"/>
        <w:spacing w:after="0" w:line="246" w:lineRule="auto"/>
        <w:tabs>
          <w:tab w:leader="none" w:pos="417"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days after the date a Term SOFR Notice or a Term ESTR Notice, as applicable, is provided to the Lenders and the Company pursuant to </w:t>
      </w:r>
      <w:r>
        <w:rPr>
          <w:rFonts w:ascii="Arial" w:cs="Arial" w:eastAsia="Arial" w:hAnsi="Arial"/>
          <w:sz w:val="22"/>
          <w:szCs w:val="22"/>
          <w:u w:val="single" w:color="auto"/>
          <w:color w:val="auto"/>
        </w:rPr>
        <w:t>Section 2.14(c)</w:t>
      </w:r>
      <w:r>
        <w:rPr>
          <w:rFonts w:ascii="Arial" w:cs="Arial" w:eastAsia="Arial" w:hAnsi="Arial"/>
          <w:sz w:val="22"/>
          <w:szCs w:val="22"/>
          <w:color w:val="auto"/>
        </w:rPr>
        <w:t>; or</w:t>
      </w:r>
    </w:p>
    <w:p>
      <w:pPr>
        <w:spacing w:after="0" w:line="192" w:lineRule="exact"/>
        <w:rPr>
          <w:rFonts w:ascii="Arial" w:cs="Arial" w:eastAsia="Arial" w:hAnsi="Arial"/>
          <w:sz w:val="22"/>
          <w:szCs w:val="22"/>
          <w:color w:val="auto"/>
        </w:rPr>
      </w:pPr>
    </w:p>
    <w:p>
      <w:pPr>
        <w:jc w:val="both"/>
        <w:ind w:firstLine="656"/>
        <w:spacing w:after="0" w:line="250" w:lineRule="auto"/>
        <w:tabs>
          <w:tab w:leader="none" w:pos="956" w:val="left"/>
        </w:tabs>
        <w:numPr>
          <w:ilvl w:val="1"/>
          <w:numId w:val="27"/>
        </w:numPr>
        <w:rPr>
          <w:rFonts w:ascii="Arial" w:cs="Arial" w:eastAsia="Arial" w:hAnsi="Arial"/>
          <w:sz w:val="22"/>
          <w:szCs w:val="22"/>
          <w:color w:val="auto"/>
        </w:rPr>
      </w:pPr>
      <w:r>
        <w:rPr>
          <w:rFonts w:ascii="Arial" w:cs="Arial" w:eastAsia="Arial" w:hAnsi="Arial"/>
          <w:sz w:val="22"/>
          <w:szCs w:val="22"/>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any Benchmark, the occurrence of one or more of the following events with respect to such then-current Benchmark:</w:t>
      </w:r>
    </w:p>
    <w:p>
      <w:pPr>
        <w:spacing w:after="0" w:line="175" w:lineRule="exact"/>
        <w:rPr>
          <w:sz w:val="20"/>
          <w:szCs w:val="20"/>
          <w:color w:val="auto"/>
        </w:rPr>
      </w:pPr>
    </w:p>
    <w:p>
      <w:pPr>
        <w:jc w:val="both"/>
        <w:ind w:firstLine="656"/>
        <w:spacing w:after="0" w:line="248" w:lineRule="auto"/>
        <w:tabs>
          <w:tab w:leader="none" w:pos="988"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85" w:name="page86"/>
    <w:bookmarkEnd w:id="85"/>
    <w:p>
      <w:pPr>
        <w:jc w:val="both"/>
        <w:ind w:firstLine="656"/>
        <w:spacing w:after="0" w:line="290" w:lineRule="auto"/>
        <w:tabs>
          <w:tab w:leader="none" w:pos="959"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55" w:lineRule="exact"/>
        <w:rPr>
          <w:rFonts w:ascii="Arial" w:cs="Arial" w:eastAsia="Arial" w:hAnsi="Arial"/>
          <w:sz w:val="19"/>
          <w:szCs w:val="19"/>
          <w:color w:val="auto"/>
        </w:rPr>
      </w:pPr>
    </w:p>
    <w:p>
      <w:pPr>
        <w:jc w:val="both"/>
        <w:ind w:firstLine="656"/>
        <w:spacing w:after="0" w:line="253" w:lineRule="auto"/>
        <w:tabs>
          <w:tab w:leader="none" w:pos="959"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For the avoidance of doubt, a “Benchmark Transition Event” will be deemed to have occurred with respect to any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and (y) ending at the time that a Benchmark Replacement has replaced such then-current Benchmark for all purposes hereunder and under any Loan Document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Bilateral Facility</w:t>
      </w:r>
      <w:r>
        <w:rPr>
          <w:rFonts w:ascii="Arial" w:cs="Arial" w:eastAsia="Arial" w:hAnsi="Arial"/>
          <w:sz w:val="22"/>
          <w:szCs w:val="22"/>
          <w:color w:val="auto"/>
        </w:rPr>
        <w:t>” means any LC Facility or Supply Chain Financing.</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Bilateral Facility Intercreditor Agreement</w:t>
      </w:r>
      <w:r>
        <w:rPr>
          <w:rFonts w:ascii="Arial" w:cs="Arial" w:eastAsia="Arial" w:hAnsi="Arial"/>
          <w:sz w:val="22"/>
          <w:szCs w:val="22"/>
          <w:color w:val="auto"/>
        </w:rPr>
        <w:t>” means a customary intercreditor agreement, in form and substance reasonably satisfactory to the Administrative Agent and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between the Administrative Agent, the Loan Parties and any Secured LC Provider or Secured Supply Chain Bank.</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Bona Fide Debt Fund</w:t>
      </w:r>
      <w:r>
        <w:rPr>
          <w:rFonts w:ascii="Arial" w:cs="Arial" w:eastAsia="Arial" w:hAnsi="Arial"/>
          <w:sz w:val="21"/>
          <w:szCs w:val="21"/>
          <w:color w:val="auto"/>
        </w:rPr>
        <w:t>” means any fund or investment vehicle that is engaged in the making, purchasing, holding or otherwise investing in commercial loans, bonds and other similar extensions of credit in the ordinary course.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DTTP Filing</w:t>
      </w:r>
      <w:r>
        <w:rPr>
          <w:rFonts w:ascii="Arial" w:cs="Arial" w:eastAsia="Arial" w:hAnsi="Arial"/>
          <w:sz w:val="19"/>
          <w:szCs w:val="19"/>
          <w:color w:val="auto"/>
        </w:rPr>
        <w:t>” means an HM Revenue &amp; Customs’ Form DTTP2 duly completed and filed by a UK Borrower,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which:</w:t>
      </w:r>
    </w:p>
    <w:p>
      <w:pPr>
        <w:spacing w:after="0" w:line="202" w:lineRule="exact"/>
        <w:rPr>
          <w:sz w:val="20"/>
          <w:szCs w:val="20"/>
          <w:color w:val="auto"/>
        </w:rPr>
      </w:pPr>
    </w:p>
    <w:p>
      <w:pPr>
        <w:jc w:val="both"/>
        <w:ind w:firstLine="656"/>
        <w:spacing w:after="0" w:line="253" w:lineRule="auto"/>
        <w:tabs>
          <w:tab w:leader="none" w:pos="1137"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where it relates to a UK Treaty Lender that becomes a Lender on the Effective Date, contains the scheme reference number and jurisdiction of tax residence stated opposite that Lender’s name in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hereto and is filed with HM Revenue &amp; Customs within 30 days of the Effective Date; or</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116" w:val="left"/>
        </w:tabs>
        <w:numPr>
          <w:ilvl w:val="0"/>
          <w:numId w:val="30"/>
        </w:numPr>
        <w:rPr>
          <w:rFonts w:ascii="Arial" w:cs="Arial" w:eastAsia="Arial" w:hAnsi="Arial"/>
          <w:sz w:val="22"/>
          <w:szCs w:val="22"/>
          <w:color w:val="auto"/>
        </w:rPr>
      </w:pPr>
      <w:r>
        <w:rPr>
          <w:rFonts w:ascii="Arial" w:cs="Arial" w:eastAsia="Arial" w:hAnsi="Arial"/>
          <w:sz w:val="22"/>
          <w:szCs w:val="22"/>
          <w:color w:val="auto"/>
        </w:rPr>
        <w:t>where it relates to a UK Treaty Lender that becomes a Lender after the Effective Date, contains the scheme reference number and jurisdiction of tax residence stated in respect of that Lender in the documentation which it executes on becoming a party to this Agreement as a Lender and is filed with HM Revenue &amp; Customs within 30 days of the UK Treaty Lender becoming a Lender 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has the meaning assigned to it in the preamble 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Loans of the same Type and currency, made, converted or continued on the same date and, in the case of Eurocurrency Loans, as to which a single Interest Period is in effect.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Minimum</w:t>
      </w:r>
      <w:r>
        <w:rPr>
          <w:rFonts w:ascii="Arial" w:cs="Arial" w:eastAsia="Arial" w:hAnsi="Arial"/>
          <w:sz w:val="22"/>
          <w:szCs w:val="22"/>
          <w:color w:val="auto"/>
        </w:rPr>
        <w:t>” means (a) in the case of a Eurocurrency Borrowing denominated in dollars, $1,000,000, (b) in the case of a Eurocurrency Borrowing denominated in any Alternative Currency, the smallest amount of such Alternative Currency that is an integral multiple of 100,000 units of such currency and that has a Dollar Equivalent in excess of $1,000,000 and (c) in the case of an ABR Borrowing, $1,000,000.</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Multiple</w:t>
      </w:r>
      <w:r>
        <w:rPr>
          <w:rFonts w:ascii="Arial" w:cs="Arial" w:eastAsia="Arial" w:hAnsi="Arial"/>
          <w:sz w:val="22"/>
          <w:szCs w:val="22"/>
          <w:color w:val="auto"/>
        </w:rPr>
        <w:t>” means (a) in the case of a Eurocurrency Borrowing denominated in dollars, $500,000, (b) in the case of a Eurocurrency Borrowing denominated in any Alternative Currency, the smallest amount of such Alternative Currency that is an integral multiple of 100,000 units of such currency and that has a Dollar Equivalent in excess of $500,000 and (c) in the case of an ABR Borrowing, $500,000.</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a Borrower for a Borrowing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which shall be, in the case of a written Borrowing Request,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any other form approved by the Administrative Agent and otherwise consistent with the requirements of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as applicable, (a) any day (other than a Saturday or a Sunday) on which banks are open for business in New York City, (b) in relation to Loans denominated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87" w:name="page88"/>
    <w:bookmarkEnd w:id="87"/>
    <w:p>
      <w:pPr>
        <w:jc w:val="both"/>
        <w:ind w:right="20"/>
        <w:spacing w:after="0" w:line="263" w:lineRule="auto"/>
        <w:rPr>
          <w:sz w:val="20"/>
          <w:szCs w:val="20"/>
          <w:color w:val="auto"/>
        </w:rPr>
      </w:pPr>
      <w:r>
        <w:rPr>
          <w:rFonts w:ascii="Arial" w:cs="Arial" w:eastAsia="Arial" w:hAnsi="Arial"/>
          <w:sz w:val="22"/>
          <w:szCs w:val="22"/>
          <w:color w:val="auto"/>
        </w:rPr>
        <w:t>Sterling and in relation to the calculation or computation of LIBOR, any day (other than a Saturday or a Sunday) on which banks are open for business in London and (c) any day which is a TARGET Day.</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 Obligations</w:t>
      </w:r>
      <w:r>
        <w:rPr>
          <w:rFonts w:ascii="Arial" w:cs="Arial" w:eastAsia="Arial" w:hAnsi="Arial"/>
          <w:sz w:val="21"/>
          <w:szCs w:val="21"/>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For purposes of </w:t>
      </w:r>
      <w:r>
        <w:rPr>
          <w:rFonts w:ascii="Arial" w:cs="Arial" w:eastAsia="Arial" w:hAnsi="Arial"/>
          <w:sz w:val="21"/>
          <w:szCs w:val="21"/>
          <w:u w:val="single" w:color="auto"/>
          <w:color w:val="auto"/>
        </w:rPr>
        <w:t>Section 6.02</w:t>
      </w:r>
      <w:r>
        <w:rPr>
          <w:rFonts w:ascii="Arial" w:cs="Arial" w:eastAsia="Arial" w:hAnsi="Arial"/>
          <w:sz w:val="21"/>
          <w:szCs w:val="21"/>
          <w:color w:val="auto"/>
        </w:rPr>
        <w:t>, a Capital Lease Obligation shall be deemed to be secured by a Lien on the property being leased and such property shall be deemed to be owned by the lessee.</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Services</w:t>
      </w:r>
      <w:r>
        <w:rPr>
          <w:rFonts w:ascii="Arial" w:cs="Arial" w:eastAsia="Arial" w:hAnsi="Arial"/>
          <w:sz w:val="19"/>
          <w:szCs w:val="19"/>
          <w:color w:val="auto"/>
        </w:rPr>
        <w:t>” means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“controlled foreign corporation” within the meaning of Section 957(a) of the Code, the equity of which is owned, within the meaning of Section 958(a) of the Code, by any subsidiary of the Company that is organized in the United States and treated as a corporation for U.S. federal income tax purposes.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means (a) the acquisition of ownership, directly or indirectly, beneficially or of record, by any Person or group (within the meaning of the Exchange Act and the rules of the SEC thereunder) of 50% or more on a fully diluted basis of the Voting Equity Interests of the Company or (b) any “change in control”, “change of control”, “fundamental change” or the functional equivalent of the foregoing shall occur under any Material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Spinoff Transactions shall not constitute a Change in Control under any of the preceding clauses of this definition.</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Law</w:t>
      </w:r>
      <w:r>
        <w:rPr>
          <w:rFonts w:ascii="Arial" w:cs="Arial" w:eastAsia="Arial" w:hAnsi="Arial"/>
          <w:sz w:val="21"/>
          <w:szCs w:val="21"/>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w:t>
      </w:r>
      <w:r>
        <w:rPr>
          <w:rFonts w:ascii="Arial" w:cs="Arial" w:eastAsia="Arial" w:hAnsi="Arial"/>
          <w:sz w:val="21"/>
          <w:szCs w:val="21"/>
          <w:u w:val="single" w:color="auto"/>
          <w:color w:val="auto"/>
        </w:rPr>
        <w:t>Section 2.15(b)</w:t>
      </w:r>
      <w:r>
        <w:rPr>
          <w:rFonts w:ascii="Arial" w:cs="Arial" w:eastAsia="Arial" w:hAnsi="Arial"/>
          <w:sz w:val="21"/>
          <w:szCs w:val="21"/>
          <w:color w:val="auto"/>
        </w:rPr>
        <w:t xml:space="preserve">, by any lending office of such Lender or by such Lender’s or Issuing Bank’s holding company, if any) with any request, guideline or directive (whether or not having the force of law) of any Governmental Authority made or issued after the date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U.S. or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22"/>
          <w:szCs w:val="22"/>
          <w:color w:val="auto"/>
        </w:rPr>
        <w:t>regulatory authorities, in each case pursuant to Basel III, shall, in each case, be deemed to be a “Change in Law,” regardless of the date enacted, adopted, issued or implemented.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“Collateral” (or equivalent term) as defined in any Security Document, all Mortgaged Property, all Collateral Vessels and any and all other assets, whether real or personal, tangible or intangible, on which Liens are or are purported to be granted pursuant to the Security Documents as security for the Obligations.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Agency Agreement</w:t>
      </w:r>
      <w:r>
        <w:rPr>
          <w:rFonts w:ascii="Arial" w:cs="Arial" w:eastAsia="Arial" w:hAnsi="Arial"/>
          <w:sz w:val="22"/>
          <w:szCs w:val="22"/>
          <w:color w:val="auto"/>
        </w:rPr>
        <w:t>” mean a collateral agency agreement among the Borrowers, the Administrative Agent and any sub-agent, co-agent or trustee designated by JPMCB to serve as collateral agent or security trustee under the Security Documents or otherwise with respect to any Collateral.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JPMCB, in its role as collateral agent hereunder and under the other Loan Documents, or any sub-agent, co-agent or trustee designated by JPMCB to serve as collateral agent or security trustee under the Security Documents or otherwise with respect to any Collateral.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and Guarantee Principles</w:t>
      </w:r>
      <w:r>
        <w:rPr>
          <w:rFonts w:ascii="Arial" w:cs="Arial" w:eastAsia="Arial" w:hAnsi="Arial"/>
          <w:sz w:val="22"/>
          <w:szCs w:val="22"/>
          <w:color w:val="auto"/>
        </w:rPr>
        <w:t xml:space="preserve">” means (a) for the Guarantees and Security Documents to be entered into on the Effective Date or otherwise within the time periods specified in </w:t>
      </w:r>
      <w:r>
        <w:rPr>
          <w:rFonts w:ascii="Arial" w:cs="Arial" w:eastAsia="Arial" w:hAnsi="Arial"/>
          <w:sz w:val="22"/>
          <w:szCs w:val="22"/>
          <w:u w:val="single" w:color="auto"/>
          <w:color w:val="auto"/>
        </w:rPr>
        <w:t>Section 5.15</w:t>
      </w:r>
      <w:r>
        <w:rPr>
          <w:rFonts w:ascii="Arial" w:cs="Arial" w:eastAsia="Arial" w:hAnsi="Arial"/>
          <w:sz w:val="22"/>
          <w:szCs w:val="22"/>
          <w:color w:val="auto"/>
        </w:rPr>
        <w:t>, the limitations and qualifications of the Collateral and Guarantee Requirement set forth below:</w:t>
      </w:r>
    </w:p>
    <w:p>
      <w:pPr>
        <w:spacing w:after="0" w:line="185" w:lineRule="exact"/>
        <w:rPr>
          <w:sz w:val="20"/>
          <w:szCs w:val="20"/>
          <w:color w:val="auto"/>
        </w:rPr>
      </w:pPr>
    </w:p>
    <w:p>
      <w:pPr>
        <w:jc w:val="both"/>
        <w:ind w:left="660" w:firstLine="644"/>
        <w:spacing w:after="0" w:line="248" w:lineRule="auto"/>
        <w:tabs>
          <w:tab w:leader="none" w:pos="2006"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general statutory limitations, financial assistance, capital maintenance, corporate benefit, fraudulent preference, “thin capitalization” rules, earnings stripping, retention of title claims and similar principles may prohibit or limit the ability of a Loan Party to provide a Guarantee or grant a Lien or require that the relevant Guarantee or Lien be limited by an amount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applicable Loan Parties will use their commercially reasonable efforts to mitigate any such impediment or obstacle;</w:t>
      </w:r>
    </w:p>
    <w:p>
      <w:pPr>
        <w:spacing w:after="0" w:line="191" w:lineRule="exact"/>
        <w:rPr>
          <w:rFonts w:ascii="Arial" w:cs="Arial" w:eastAsia="Arial" w:hAnsi="Arial"/>
          <w:sz w:val="22"/>
          <w:szCs w:val="22"/>
          <w:color w:val="auto"/>
        </w:rPr>
      </w:pPr>
    </w:p>
    <w:p>
      <w:pPr>
        <w:jc w:val="both"/>
        <w:ind w:left="660" w:firstLine="644"/>
        <w:spacing w:after="0" w:line="253" w:lineRule="auto"/>
        <w:tabs>
          <w:tab w:leader="none" w:pos="1826" w:val="left"/>
        </w:tabs>
        <w:numPr>
          <w:ilvl w:val="0"/>
          <w:numId w:val="31"/>
        </w:numPr>
        <w:rPr>
          <w:rFonts w:ascii="Arial" w:cs="Arial" w:eastAsia="Arial" w:hAnsi="Arial"/>
          <w:sz w:val="22"/>
          <w:szCs w:val="22"/>
          <w:color w:val="auto"/>
        </w:rPr>
      </w:pPr>
      <w:r>
        <w:rPr>
          <w:rFonts w:ascii="Arial" w:cs="Arial" w:eastAsia="Arial" w:hAnsi="Arial"/>
          <w:sz w:val="22"/>
          <w:szCs w:val="22"/>
          <w:color w:val="auto"/>
        </w:rPr>
        <w:t>no Loan Party will be required to provide a Guarantee or grant a Lien to the extent doing so would conflict with the fiduciary duties of such Loan Party’s directors or contravene any legal prohibition or result in a material risk of personal or criminal liability on the part of any officer or director thereof;</w:t>
      </w:r>
    </w:p>
    <w:p>
      <w:pPr>
        <w:spacing w:after="0" w:line="185"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that any of the limitations, rules and/or principles referred to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require that the Guarantee provided and/or the Liens granted by any Loan Party be limited in an amount or otherwise in order to (i) make the provision of such Guarantee or the grant of such Liens legal, valid, binding or enforceable, (ii) avoid the relevant Loan Party from breaching any applicable law or (iii) avoid personal or criminal liability of the officers or directors (or equivalent)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Loan Party, such limit shall be no more than the minimum limit required by such limitations, rules and/or principles;</w:t>
      </w:r>
    </w:p>
    <w:p>
      <w:pPr>
        <w:spacing w:after="0" w:line="254" w:lineRule="exact"/>
        <w:rPr>
          <w:sz w:val="20"/>
          <w:szCs w:val="20"/>
          <w:color w:val="auto"/>
        </w:rPr>
      </w:pPr>
    </w:p>
    <w:p>
      <w:pPr>
        <w:jc w:val="both"/>
        <w:ind w:firstLine="644"/>
        <w:spacing w:after="0" w:line="253" w:lineRule="auto"/>
        <w:tabs>
          <w:tab w:leader="none" w:pos="122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giving of a Guarantee or granting of a Lien or the perfection of a Lien (including any registration) will be agreed taking into account the cost to the Loan Parties of providing such Guarantee or granting such Lien, which must not be disproportionately greater than the benefit accruing to the Lenders;</w:t>
      </w:r>
    </w:p>
    <w:p>
      <w:pPr>
        <w:spacing w:after="0" w:line="185" w:lineRule="exact"/>
        <w:rPr>
          <w:rFonts w:ascii="Arial" w:cs="Arial" w:eastAsia="Arial" w:hAnsi="Arial"/>
          <w:sz w:val="22"/>
          <w:szCs w:val="22"/>
          <w:color w:val="auto"/>
        </w:rPr>
      </w:pPr>
    </w:p>
    <w:p>
      <w:pPr>
        <w:jc w:val="both"/>
        <w:ind w:firstLine="644"/>
        <w:spacing w:after="0" w:line="265" w:lineRule="auto"/>
        <w:tabs>
          <w:tab w:leader="none" w:pos="1305" w:val="left"/>
        </w:tabs>
        <w:numPr>
          <w:ilvl w:val="0"/>
          <w:numId w:val="32"/>
        </w:numPr>
        <w:rPr>
          <w:rFonts w:ascii="Arial" w:cs="Arial" w:eastAsia="Arial" w:hAnsi="Arial"/>
          <w:sz w:val="21"/>
          <w:szCs w:val="21"/>
          <w:color w:val="auto"/>
        </w:rPr>
      </w:pPr>
      <w:r>
        <w:rPr>
          <w:rFonts w:ascii="Arial" w:cs="Arial" w:eastAsia="Arial" w:hAnsi="Arial"/>
          <w:sz w:val="21"/>
          <w:szCs w:val="21"/>
          <w:color w:val="auto"/>
        </w:rPr>
        <w:t>no Restricted Subsidiary other than those organized or incorporated in a Collateral Jurisdiction will be required to provide Guarantees or grant any Lien and, except with respect to (A) the pledge of Equity Interests in any French Restricted Subsidiary owned by a Loan Party and (B) any Vessel Mortgages, no Restricted Subsidiary will be required to grant any Lien under local law in any jurisdiction that is not a Collateral Jurisdiction;</w:t>
      </w:r>
    </w:p>
    <w:p>
      <w:pPr>
        <w:spacing w:after="0" w:line="175" w:lineRule="exact"/>
        <w:rPr>
          <w:rFonts w:ascii="Arial" w:cs="Arial" w:eastAsia="Arial" w:hAnsi="Arial"/>
          <w:sz w:val="21"/>
          <w:szCs w:val="21"/>
          <w:color w:val="auto"/>
        </w:rPr>
      </w:pPr>
    </w:p>
    <w:p>
      <w:pPr>
        <w:jc w:val="both"/>
        <w:ind w:firstLine="644"/>
        <w:spacing w:after="0" w:line="261" w:lineRule="auto"/>
        <w:tabs>
          <w:tab w:leader="none" w:pos="1348"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the maximum guaranteed or secured amount may be limited to minimize stamp duty, notarization, registration or other applicable fees, Taxes and duties where the benefit of increasing the Guaranteed or secured amount is disproportionate to the level of such fees, Taxes and duties;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any such fees, Taxes or duties may be reduced by actions or omissions on the part of the Loan Parties, each Loan Party shall use its commercially reasonable efforts to take such actions or not take actions (as appropriate) in order to reduce the limitations on the maximum guaranteed or secured amount attributable to such fees, Taxes or duties;</w:t>
      </w:r>
    </w:p>
    <w:p>
      <w:pPr>
        <w:spacing w:after="0" w:line="179" w:lineRule="exact"/>
        <w:rPr>
          <w:rFonts w:ascii="Arial" w:cs="Arial" w:eastAsia="Arial" w:hAnsi="Arial"/>
          <w:sz w:val="21"/>
          <w:szCs w:val="21"/>
          <w:color w:val="auto"/>
        </w:rPr>
      </w:pPr>
    </w:p>
    <w:p>
      <w:pPr>
        <w:jc w:val="both"/>
        <w:ind w:firstLine="644"/>
        <w:spacing w:after="0" w:line="250" w:lineRule="auto"/>
        <w:tabs>
          <w:tab w:leader="none" w:pos="1256"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to the extent that any Guarantee or Lien requires the consent of any supervisory board, works council or other external body, such Guarantee and/or Lien shall not be required until such consent has been received;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Loan Party shall use its commercially reasonable efforts to take such actions as appropriate in order to obtain the relevant consent(s);</w:t>
      </w:r>
    </w:p>
    <w:p>
      <w:pPr>
        <w:spacing w:after="0" w:line="187" w:lineRule="exact"/>
        <w:rPr>
          <w:rFonts w:ascii="Arial" w:cs="Arial" w:eastAsia="Arial" w:hAnsi="Arial"/>
          <w:sz w:val="22"/>
          <w:szCs w:val="22"/>
          <w:color w:val="auto"/>
        </w:rPr>
      </w:pPr>
    </w:p>
    <w:p>
      <w:pPr>
        <w:ind w:left="1280" w:hanging="636"/>
        <w:spacing w:after="0"/>
        <w:tabs>
          <w:tab w:leader="none" w:pos="12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no Liens will be granted and no Guarantees will be provided by any non-wholly owned Subsidiary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1" w:lineRule="exact"/>
        <w:rPr>
          <w:rFonts w:ascii="Arial" w:cs="Arial" w:eastAsia="Arial" w:hAnsi="Arial"/>
          <w:sz w:val="19"/>
          <w:szCs w:val="19"/>
          <w:color w:val="auto"/>
        </w:rPr>
      </w:pPr>
    </w:p>
    <w:p>
      <w:pPr>
        <w:jc w:val="both"/>
        <w:ind w:firstLine="644"/>
        <w:spacing w:after="0" w:line="312" w:lineRule="auto"/>
        <w:tabs>
          <w:tab w:leader="none" w:pos="1414" w:val="left"/>
        </w:tabs>
        <w:numPr>
          <w:ilvl w:val="0"/>
          <w:numId w:val="32"/>
        </w:numPr>
        <w:rPr>
          <w:rFonts w:ascii="Arial" w:cs="Arial" w:eastAsia="Arial" w:hAnsi="Arial"/>
          <w:sz w:val="19"/>
          <w:szCs w:val="19"/>
          <w:color w:val="auto"/>
        </w:rPr>
      </w:pPr>
      <w:r>
        <w:rPr>
          <w:rFonts w:ascii="Arial" w:cs="Arial" w:eastAsia="Arial" w:hAnsi="Arial"/>
          <w:sz w:val="19"/>
          <w:szCs w:val="19"/>
          <w:color w:val="auto"/>
        </w:rPr>
        <w:t>no pledge or other security interest shall be granted on (a) with respect to the obligations of the U.S. Borrower only, any assets of a CFC, FSHCO, or a subsidiary of a CFC or FSHCO, or (b) those assets a pledge or other security interest in which would result in a material adverse tax consequence as reasonably determined by the Company;</w:t>
      </w:r>
    </w:p>
    <w:p>
      <w:pPr>
        <w:spacing w:after="0" w:line="133" w:lineRule="exact"/>
        <w:rPr>
          <w:rFonts w:ascii="Arial" w:cs="Arial" w:eastAsia="Arial" w:hAnsi="Arial"/>
          <w:sz w:val="19"/>
          <w:szCs w:val="19"/>
          <w:color w:val="auto"/>
        </w:rPr>
      </w:pPr>
    </w:p>
    <w:p>
      <w:pPr>
        <w:jc w:val="both"/>
        <w:ind w:firstLine="644"/>
        <w:spacing w:after="0" w:line="302" w:lineRule="auto"/>
        <w:tabs>
          <w:tab w:leader="none" w:pos="1284"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Security Documents shall include those documents agreed among counsel for the Company and the Administrative Agent, which documentation shall, in each case, be (i) in form and substance consistent with these Collateral and Guarantee Principles, (ii) customary for the form of Collateral in the applicable jurisdiction and (iii) as mutually agreed between the Administrative Agent (or other applicable agent)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0"/>
          </w:cols>
          <w:pgMar w:left="980" w:top="1428" w:right="339" w:bottom="1440" w:gutter="0" w:footer="0" w:header="0"/>
        </w:sectPr>
      </w:pPr>
    </w:p>
    <w:bookmarkStart w:id="90" w:name="page91"/>
    <w:bookmarkEnd w:id="90"/>
    <w:p>
      <w:pPr>
        <w:jc w:val="both"/>
        <w:ind w:left="660" w:firstLine="644"/>
        <w:spacing w:after="0" w:line="265" w:lineRule="auto"/>
        <w:tabs>
          <w:tab w:leader="none" w:pos="183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Security Documents will, where possible and practical, automatically create Liens over future assets of the same type as those already secured, including by means of first-ranking floating charges and general business charges, where available, and where local law requires, supplemental pledges will be delivered in respect of future acquired assets in order for an effective Lien to be created over that class of asset;</w:t>
      </w:r>
    </w:p>
    <w:p>
      <w:pPr>
        <w:spacing w:after="0" w:line="175" w:lineRule="exact"/>
        <w:rPr>
          <w:rFonts w:ascii="Arial" w:cs="Arial" w:eastAsia="Arial" w:hAnsi="Arial"/>
          <w:sz w:val="21"/>
          <w:szCs w:val="21"/>
          <w:color w:val="auto"/>
        </w:rPr>
      </w:pPr>
    </w:p>
    <w:p>
      <w:pPr>
        <w:jc w:val="both"/>
        <w:ind w:left="660" w:firstLine="644"/>
        <w:spacing w:after="0" w:line="248" w:lineRule="auto"/>
        <w:tabs>
          <w:tab w:leader="none" w:pos="1902"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Security Documents will be drafted so as to minimize repetition or extension of clauses set out in the other Loan Documents, including any intercreditor agreement, such as those relating to notices, cost and expenses, indemnities, tax gross up, distribution of proceeds and release of Liens or Collateral, in each case, except to the extent specifically required by local law or for the perfection of Liens or to accord with standard market practice in the relevant jurisdiction;</w:t>
      </w:r>
    </w:p>
    <w:p>
      <w:pPr>
        <w:spacing w:after="0" w:line="191" w:lineRule="exact"/>
        <w:rPr>
          <w:rFonts w:ascii="Arial" w:cs="Arial" w:eastAsia="Arial" w:hAnsi="Arial"/>
          <w:sz w:val="22"/>
          <w:szCs w:val="22"/>
          <w:color w:val="auto"/>
        </w:rPr>
      </w:pPr>
    </w:p>
    <w:p>
      <w:pPr>
        <w:ind w:left="660" w:firstLine="644"/>
        <w:spacing w:after="0" w:line="263" w:lineRule="auto"/>
        <w:tabs>
          <w:tab w:leader="none" w:pos="199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Security Documents should not operate so as to prevent transactions which are permitted under the other Loan Documents or require additional consents or authorizations; and</w:t>
      </w:r>
    </w:p>
    <w:p>
      <w:pPr>
        <w:spacing w:after="0" w:line="174" w:lineRule="exact"/>
        <w:rPr>
          <w:rFonts w:ascii="Arial" w:cs="Arial" w:eastAsia="Arial" w:hAnsi="Arial"/>
          <w:sz w:val="22"/>
          <w:szCs w:val="22"/>
          <w:color w:val="auto"/>
        </w:rPr>
      </w:pPr>
    </w:p>
    <w:p>
      <w:pPr>
        <w:jc w:val="both"/>
        <w:ind w:left="660" w:firstLine="644"/>
        <w:spacing w:after="0" w:line="294" w:lineRule="auto"/>
        <w:tabs>
          <w:tab w:leader="none" w:pos="2124"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registration of any Liens created under any Security Documents and other legal formalities and perfection steps, if required under applicable law or regulation or where customary or consistent with market practice, will be completed by each Loan Party in the relevant Collateral Jurisdiction as soon as reasonably practicable in line with applicable market practice after such Liens are granted and, in any event, within the time periods specified in the relevant Loan Documents or within the time periods specified by applicable law or regulation, in order to ensure due priority, perfection and enforceability of the Liens on the Collateral required to be created by the relevant Security Documents.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and Guarantee Requirement</w:t>
      </w:r>
      <w:r>
        <w:rPr>
          <w:rFonts w:ascii="Arial" w:cs="Arial" w:eastAsia="Arial" w:hAnsi="Arial"/>
          <w:sz w:val="21"/>
          <w:szCs w:val="21"/>
          <w:color w:val="auto"/>
        </w:rPr>
        <w:t>” means, subject to Section 5.15 hereof, at any time, the requirement that:</w:t>
      </w:r>
    </w:p>
    <w:p>
      <w:pPr>
        <w:spacing w:after="0" w:line="231" w:lineRule="exact"/>
        <w:rPr>
          <w:sz w:val="20"/>
          <w:szCs w:val="20"/>
          <w:color w:val="auto"/>
        </w:rPr>
      </w:pPr>
    </w:p>
    <w:p>
      <w:pPr>
        <w:jc w:val="both"/>
        <w:ind w:firstLine="656"/>
        <w:spacing w:after="0" w:line="259" w:lineRule="auto"/>
        <w:tabs>
          <w:tab w:leader="none" w:pos="119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from the Borrowers and each Guarantor Subsidiary (i) either (A) a counterpart of the New York-Law Guarantee duly executed and delivered on behalf of such Person or (B) in the case of any Person that becomes a Guarantor Subsidiary after the Effective Date, a supplement to the New York-Law Guarantee, in the form specified therein, duly executed and delivered on behalf of such Person, together with opinions and documents of the type referred to in </w:t>
      </w:r>
      <w:r>
        <w:rPr>
          <w:rFonts w:ascii="Arial" w:cs="Arial" w:eastAsia="Arial" w:hAnsi="Arial"/>
          <w:sz w:val="21"/>
          <w:szCs w:val="21"/>
          <w:u w:val="single" w:color="auto"/>
          <w:color w:val="auto"/>
        </w:rPr>
        <w:t>Sections 4.01(b)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w:t>
      </w:r>
      <w:r>
        <w:rPr>
          <w:rFonts w:ascii="Arial" w:cs="Arial" w:eastAsia="Arial" w:hAnsi="Arial"/>
          <w:sz w:val="21"/>
          <w:szCs w:val="21"/>
          <w:color w:val="auto"/>
        </w:rPr>
        <w:t xml:space="preserve"> with respect to such Person and (ii) the New York-Law Security Agreement (in the case of U.S. Loan Parties only), the New York-Law Pledge Agreement, if applicable, and/or such other Security Documents, or counterparts or supplements thereto, together with opinions and documents of the type referred to in </w:t>
      </w:r>
      <w:r>
        <w:rPr>
          <w:rFonts w:ascii="Arial" w:cs="Arial" w:eastAsia="Arial" w:hAnsi="Arial"/>
          <w:sz w:val="21"/>
          <w:szCs w:val="21"/>
          <w:u w:val="single" w:color="auto"/>
          <w:color w:val="auto"/>
        </w:rPr>
        <w:t>Sections 4.01(b)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w:t>
      </w:r>
      <w:r>
        <w:rPr>
          <w:rFonts w:ascii="Arial" w:cs="Arial" w:eastAsia="Arial" w:hAnsi="Arial"/>
          <w:sz w:val="21"/>
          <w:szCs w:val="21"/>
          <w:color w:val="auto"/>
        </w:rPr>
        <w:t>, in each case, as are customary for the form of Collateral in the applicable jurisdiction or otherwise reasonably requested by the Administrative Agent;</w:t>
      </w:r>
    </w:p>
    <w:p>
      <w:pPr>
        <w:spacing w:after="0" w:line="179" w:lineRule="exact"/>
        <w:rPr>
          <w:rFonts w:ascii="Arial" w:cs="Arial" w:eastAsia="Arial" w:hAnsi="Arial"/>
          <w:sz w:val="21"/>
          <w:szCs w:val="21"/>
          <w:color w:val="auto"/>
        </w:rPr>
      </w:pPr>
    </w:p>
    <w:p>
      <w:pPr>
        <w:jc w:val="both"/>
        <w:ind w:firstLine="656"/>
        <w:spacing w:after="0" w:line="265" w:lineRule="auto"/>
        <w:tabs>
          <w:tab w:leader="none" w:pos="11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(i) all outstanding Equity Interests, in each case owned by any Loan Party (including, for the avoidance of doubt, any Equity Interests of Technip Energies or any French Subsidiary owned by a Loan Party), shall have been pledged or charged pursuant to the Security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Loan Parties shall not be required to pledge or charge (x) with respect to the obligations of the U.S. Borrower, only more than 65% of the outstanding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91" w:name="page92"/>
    <w:bookmarkEnd w:id="91"/>
    <w:p>
      <w:pPr>
        <w:jc w:val="both"/>
        <w:spacing w:after="0" w:line="287" w:lineRule="auto"/>
        <w:rPr>
          <w:sz w:val="20"/>
          <w:szCs w:val="20"/>
          <w:color w:val="auto"/>
        </w:rPr>
      </w:pPr>
      <w:r>
        <w:rPr>
          <w:rFonts w:ascii="Arial" w:cs="Arial" w:eastAsia="Arial" w:hAnsi="Arial"/>
          <w:sz w:val="19"/>
          <w:szCs w:val="19"/>
          <w:color w:val="auto"/>
        </w:rPr>
        <w:t>Interests of (1) any first-tier Foreign Subsidiary of a Loan Party that is a CFC, or (2) any FSHCO, (y) those Equity Interests a pledge or other security interest in which would result in a material adverse tax consequences as reasonably determined by the Company or (z) any Equity Interests to the extent that a pledge of other security over such Equity Interests is prohibited by any requirements of law binding on such Equity Interests at the time of acquisition thereof, after giving effect to the applicable anti-assignment provisions of the Uniform Commercial Code of any applicable jurisdiction and other applicable law (the Equity Interests described in clauses (x), (y) and (z), collectively, “</w:t>
      </w:r>
      <w:r>
        <w:rPr>
          <w:rFonts w:ascii="Arial" w:cs="Arial" w:eastAsia="Arial" w:hAnsi="Arial"/>
          <w:sz w:val="19"/>
          <w:szCs w:val="19"/>
          <w:u w:val="single" w:color="auto"/>
          <w:color w:val="auto"/>
        </w:rPr>
        <w:t>Excluded Equity</w:t>
      </w:r>
      <w:r>
        <w:rPr>
          <w:rFonts w:ascii="Arial" w:cs="Arial" w:eastAsia="Arial" w:hAnsi="Arial"/>
          <w:sz w:val="19"/>
          <w:szCs w:val="19"/>
          <w:color w:val="auto"/>
        </w:rPr>
        <w:t>”) and (ii) the Administrative Agent shall have received, to the extent applicable and required by the Security Documents, certificates or other instruments representing all such Equity Interests, together with undated stock powers or other instruments of transfer with respect thereto endorsed in blank (provided that no Loan Party shall have any obligation to deliver a certificate or other instrument representing any such Equity Interest if such Equity Interest is (x) uncertificated unless such Equity Interest is a “security” under the Uniform Commercial Code or (y) of a Person that is not a wholly owned Restricted Subsidiary that is a Material Subsidiary);</w:t>
      </w:r>
    </w:p>
    <w:p>
      <w:pPr>
        <w:spacing w:after="0" w:line="163" w:lineRule="exact"/>
        <w:rPr>
          <w:sz w:val="20"/>
          <w:szCs w:val="20"/>
          <w:color w:val="auto"/>
        </w:rPr>
      </w:pPr>
    </w:p>
    <w:p>
      <w:pPr>
        <w:jc w:val="both"/>
        <w:ind w:firstLine="656"/>
        <w:spacing w:after="0" w:line="297" w:lineRule="auto"/>
        <w:tabs>
          <w:tab w:leader="none" w:pos="1222" w:val="left"/>
        </w:tabs>
        <w:numPr>
          <w:ilvl w:val="0"/>
          <w:numId w:val="35"/>
        </w:numPr>
        <w:rPr>
          <w:rFonts w:ascii="Arial" w:cs="Arial" w:eastAsia="Arial" w:hAnsi="Arial"/>
          <w:sz w:val="19"/>
          <w:szCs w:val="19"/>
          <w:color w:val="auto"/>
        </w:rPr>
      </w:pPr>
      <w:r>
        <w:rPr>
          <w:rFonts w:ascii="Arial" w:cs="Arial" w:eastAsia="Arial" w:hAnsi="Arial"/>
          <w:sz w:val="19"/>
          <w:szCs w:val="19"/>
          <w:color w:val="auto"/>
        </w:rPr>
        <w:t>all Indebtedness of the Borrowers and each Subsidiary, and all other Indebtedness of any Person in a principal amount individually of $25,000,000 or more, in each case, that is owing to any Loan Party shall have been pledged, assigned or charged pursuant to the Security Documents, and the Administrative Agent shall have received all such promissory notes (or, in the case of any Indebtedness of the Borrowers and each Subsidiary that is owing to any Loan Party, in lieu thereof, the Global Intercompany Note) together with undated instruments of transfer with respect thereto endorsed in blank;</w:t>
      </w:r>
    </w:p>
    <w:p>
      <w:pPr>
        <w:spacing w:after="0" w:line="146" w:lineRule="exact"/>
        <w:rPr>
          <w:rFonts w:ascii="Arial" w:cs="Arial" w:eastAsia="Arial" w:hAnsi="Arial"/>
          <w:sz w:val="19"/>
          <w:szCs w:val="19"/>
          <w:color w:val="auto"/>
        </w:rPr>
      </w:pPr>
    </w:p>
    <w:p>
      <w:pPr>
        <w:jc w:val="both"/>
        <w:ind w:firstLine="656"/>
        <w:spacing w:after="0" w:line="290" w:lineRule="auto"/>
        <w:tabs>
          <w:tab w:leader="none" w:pos="1355" w:val="left"/>
        </w:tabs>
        <w:numPr>
          <w:ilvl w:val="0"/>
          <w:numId w:val="35"/>
        </w:numPr>
        <w:rPr>
          <w:rFonts w:ascii="Arial" w:cs="Arial" w:eastAsia="Arial" w:hAnsi="Arial"/>
          <w:sz w:val="19"/>
          <w:szCs w:val="19"/>
          <w:color w:val="auto"/>
        </w:rPr>
      </w:pPr>
      <w:r>
        <w:rPr>
          <w:rFonts w:ascii="Arial" w:cs="Arial" w:eastAsia="Arial" w:hAnsi="Arial"/>
          <w:sz w:val="19"/>
          <w:szCs w:val="19"/>
          <w:color w:val="auto"/>
        </w:rPr>
        <w:t>all documents, notices, acknowledgments, stamping and instruments, including Uniform Commercial Code financing statements (or their equivalent) and filings with the United States Copyright Office and the United States Patent and Trademark Office, United Kingdom Companies House filings, HM Land Registry filings, filings with the Accounting and Corporate Regulatory Authority of Singapore, payment of stamp duty to the Inland Revenue Authority of Singapore and all other actions required by law or reasonably requested by the Administrative Agent to be filed, registered, delivered, performed or recorded to create the Liens intended to be created by the Security Documents and perfect such Liens to the extent required by, and with the priority required by, the Security Documents shall have been filed, registered, delivered, performed or recorded or delivered to the Administrative Agent or its counsel for filing, registration or recording;</w:t>
      </w:r>
    </w:p>
    <w:p>
      <w:pPr>
        <w:spacing w:after="0" w:line="155" w:lineRule="exact"/>
        <w:rPr>
          <w:rFonts w:ascii="Arial" w:cs="Arial" w:eastAsia="Arial" w:hAnsi="Arial"/>
          <w:sz w:val="19"/>
          <w:szCs w:val="19"/>
          <w:color w:val="auto"/>
        </w:rPr>
      </w:pPr>
    </w:p>
    <w:p>
      <w:pPr>
        <w:jc w:val="both"/>
        <w:ind w:firstLine="656"/>
        <w:spacing w:after="0" w:line="292" w:lineRule="auto"/>
        <w:tabs>
          <w:tab w:leader="none" w:pos="1189"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to the extent applicable in each relevant Collateral Jurisdiction, (i) counterparts of a Real Property Mortgage with respect to each Mortgaged Property duly executed and delivered by the record owner of such Mortgaged Property; (ii) a policy or policies of title insurance (or marked up title insurance commitment having the effect of a policy of title insurance) issued by a nationally recognized title insurance company insuring the Lien of each such Real Property Mortgage as a valid and enforceable first Lien on the Mortgaged Property described therein, free of any other Liens except as expressly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in an amount not less than the fair market value of such Mortgaged Property, together with such endorsements, coinsurance and reinsurance as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92" w:name="page93"/>
    <w:bookmarkEnd w:id="92"/>
    <w:p>
      <w:pPr>
        <w:jc w:val="both"/>
        <w:spacing w:after="0" w:line="284" w:lineRule="auto"/>
        <w:rPr>
          <w:sz w:val="20"/>
          <w:szCs w:val="20"/>
          <w:color w:val="auto"/>
        </w:rPr>
      </w:pPr>
      <w:r>
        <w:rPr>
          <w:rFonts w:ascii="Arial" w:cs="Arial" w:eastAsia="Arial" w:hAnsi="Arial"/>
          <w:sz w:val="19"/>
          <w:szCs w:val="19"/>
          <w:color w:val="auto"/>
        </w:rPr>
        <w:t xml:space="preserve">Agent may reasonably request, and in form and substance reasonably acceptable to the Administrative Agent, or in the case of any Mortgaged Property within England a City of London Law Society Certificate of Title prepared by the Company’s solicitors in respect of the Mortgaged Property, such Certificate of Title to be in a form that is satisfactory to the Administrative Agent; (iii) a completed “Life-of-Loan” Federal Emergency Management Agency Standard Flood Hazard Determination with respect to each Mortgaged Property and, to the extent a Mortgaged Property is located in a special flood hazard area, a notice about special flood hazard area status and flood disaster assistance duly executed by each Loan Party relating thereto and evidence of flood insurance as required under </w:t>
      </w:r>
      <w:r>
        <w:rPr>
          <w:rFonts w:ascii="Arial" w:cs="Arial" w:eastAsia="Arial" w:hAnsi="Arial"/>
          <w:sz w:val="19"/>
          <w:szCs w:val="19"/>
          <w:u w:val="single" w:color="auto"/>
          <w:color w:val="auto"/>
        </w:rPr>
        <w:t>Section 5.07</w:t>
      </w:r>
      <w:r>
        <w:rPr>
          <w:rFonts w:ascii="Arial" w:cs="Arial" w:eastAsia="Arial" w:hAnsi="Arial"/>
          <w:sz w:val="19"/>
          <w:szCs w:val="19"/>
          <w:color w:val="auto"/>
        </w:rPr>
        <w:t xml:space="preserve"> hereof, or in the case of any Mortgaged Property within England a policy of insurance covering flood risk, such policy to be in a form that is satisfactory to the Administrative Agent; and (iv) such new surveys, valuation reports, environmental reports, building survey reports (or existing surveys together with affidavits of no-change sufficient for the title company to remove all standard survey exceptions from the mortgage title policy relating to such Mortgaged Property and issue the survey-related endorsements), abstracts, appraisals, legal opinions (with respect to enforceability and perfection of the Real Property Mortgages and the due authorization, execution and delivery of the Real Property Mortgages) and other documents as the Administrative Agent or the Required Lenders may reasonably request with respect to any such Real Property Mortgage or Mortgaged Property, in each case, in form and substance reasonably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evidence of compliance with Flood Insurance Laws (including but not limited to identity of to-be-mortgaged properties, appraisals, flood determinations, notice to the Loan Parties and flood insurance, if applicable) (“</w:t>
      </w:r>
      <w:r>
        <w:rPr>
          <w:rFonts w:ascii="Arial" w:cs="Arial" w:eastAsia="Arial" w:hAnsi="Arial"/>
          <w:sz w:val="19"/>
          <w:szCs w:val="19"/>
          <w:u w:val="single" w:color="auto"/>
          <w:color w:val="auto"/>
        </w:rPr>
        <w:t>Flood Due Diligence</w:t>
      </w:r>
      <w:r>
        <w:rPr>
          <w:rFonts w:ascii="Arial" w:cs="Arial" w:eastAsia="Arial" w:hAnsi="Arial"/>
          <w:sz w:val="19"/>
          <w:szCs w:val="19"/>
          <w:color w:val="auto"/>
        </w:rPr>
        <w:t xml:space="preserve">”) shall be provided reasonably in advance of execution and delivery of Real Property Mortgages to enable each Lender to complete its flood insurance regulatory compliance;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notwithstanding anything to the contrary contained herein, the Administrative Agent shall not accept executed Real Property Mortgages from any Loan Party until the earlier of (x) notification from each Lender that it is satisfied with the Flood Due Diligence and (y) 45 days from the date the Administrative Agent provided the Flood Due Diligence to the Lenders; provided, further, that in the event Administrative Agent declines to accept any Real Property Mortgages, the time period for the delivery of such Real Property Mortgages required hereunder shall automatically be extended until such time that Administrative Agent accepts such Real Property Mortgages;</w:t>
      </w:r>
    </w:p>
    <w:p>
      <w:pPr>
        <w:spacing w:after="0" w:line="169" w:lineRule="exact"/>
        <w:rPr>
          <w:sz w:val="20"/>
          <w:szCs w:val="20"/>
          <w:color w:val="auto"/>
        </w:rPr>
      </w:pPr>
    </w:p>
    <w:p>
      <w:pPr>
        <w:jc w:val="both"/>
        <w:ind w:firstLine="656"/>
        <w:spacing w:after="0" w:line="260" w:lineRule="auto"/>
        <w:tabs>
          <w:tab w:leader="none" w:pos="1175"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Administrative Agent shall have received (i) a Vessel Mortgage with respect to each Collateral Vessel, duly executed and delivered by the record owner of such Collateral Vessel, (ii) in respect of each Collateral Vessel evidence that the Vessel Mortgage in respect of that Collateral Vessel has been duly registered in the vessel or ship registry appropriate for such Collateral Vessel in favor of the Collateral Agent and (iii) such other instruments, certificates and documents as the Administrative Agent may reasonably request, including, a customary legal opinion relating to matters governed by the laws of the jurisdiction of the flag under which the applicable Collateral Vessel is registered and in form and substance reasonably satisfactory to the Administrative Agent;</w:t>
      </w:r>
    </w:p>
    <w:p>
      <w:pPr>
        <w:spacing w:after="0" w:line="180" w:lineRule="exact"/>
        <w:rPr>
          <w:rFonts w:ascii="Arial" w:cs="Arial" w:eastAsia="Arial" w:hAnsi="Arial"/>
          <w:sz w:val="21"/>
          <w:szCs w:val="21"/>
          <w:color w:val="auto"/>
        </w:rPr>
      </w:pPr>
    </w:p>
    <w:p>
      <w:pPr>
        <w:ind w:firstLine="656"/>
        <w:spacing w:after="0" w:line="263" w:lineRule="auto"/>
        <w:tabs>
          <w:tab w:leader="none" w:pos="1149" w:val="left"/>
        </w:tabs>
        <w:numPr>
          <w:ilvl w:val="0"/>
          <w:numId w:val="36"/>
        </w:numPr>
        <w:rPr>
          <w:rFonts w:ascii="Arial" w:cs="Arial" w:eastAsia="Arial" w:hAnsi="Arial"/>
          <w:sz w:val="22"/>
          <w:szCs w:val="22"/>
          <w:color w:val="auto"/>
        </w:rPr>
      </w:pPr>
      <w:r>
        <w:rPr>
          <w:rFonts w:ascii="Arial" w:cs="Arial" w:eastAsia="Arial" w:hAnsi="Arial"/>
          <w:sz w:val="22"/>
          <w:szCs w:val="22"/>
          <w:color w:val="auto"/>
        </w:rPr>
        <w:t>each Loan Party shall have obtained all consents and approvals required to be obtained by it in connection with the execution and delivery of all Security Documents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it is a party, the performance of its obligations thereunder and the granting by it of the Liens thereunder; and</w:t>
      </w:r>
    </w:p>
    <w:p>
      <w:pPr>
        <w:spacing w:after="0" w:line="220" w:lineRule="exact"/>
        <w:rPr>
          <w:sz w:val="20"/>
          <w:szCs w:val="20"/>
          <w:color w:val="auto"/>
        </w:rPr>
      </w:pPr>
    </w:p>
    <w:p>
      <w:pPr>
        <w:ind w:firstLine="656"/>
        <w:spacing w:after="0" w:line="263" w:lineRule="auto"/>
        <w:tabs>
          <w:tab w:leader="none" w:pos="1137"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such evidence of compliance with the requirements of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as may be reasonably requested by the Administrative Agent.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Administrative Agent may grant extensions of time for the creation or perfection of pledges of or security interests in, or the obtaining of title insurance, legal opinions or other deliverables with respect to, particular assets, rights or properties of the Loan Parties or the provision of Guarantees by any Guarantor Subsidiary (including extensions beyond the Effective Date or in connection with assets, rights or properties acquired, or Subsidiaries formed or acquired, after the Effective Date) where it determines in its reasonable discretion that such creation or perfection of security interests, obtaining of title insurance, legal opinions or other deliverables, or provision of Guarantees cannot be accomplished without undue effort or expense by the time or times at which it would otherwise be required by this Agreement or the Security Documents. It is understood and agreed that the foregoing Collateral and Guarantee Requirements shall be subject to the Collateral and Guarantee Principles.</w:t>
      </w:r>
    </w:p>
    <w:p>
      <w:pPr>
        <w:spacing w:after="0" w:line="15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Notwithstanding anything in the Security Documents to the contrary, in no event shall the Liens granted thereunder attach to (i) any assets if, to the extent and for so long as the grant of a Lien thereon to secure the Obligations is prohibited by applicable law, rule or regulation after giving effect to the applicable antiassignment provisions of the Uniform Commercial Code of any applicable jurisdiction and other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security interest shall attach immediately at such time as the condition causing such prohibition shall no longer exist and, to the extent severable, shall attach immediately to any portion of such asset that does not result in such prohibition, (ii) any Excluded Equity, (iii) any motor vehicles owned or any other assets subject to certificates of title (excluding, for the avoidance of doubt, any owned vessels), to the extent that a security interest therein cannot be perfected by the filing of a Uniform Commercial Code financing statement or charter registration, (iv) any intenttouse trademark application in the United States prior to the filing and acceptance of a “Statement of Use” or “Amendment to Allege Use” with respect thereto, to the extent, if any, that, and solely during the period, if any, in which, the grant, attachment, or enforcement of a security interest therein would impair the validity or enforceability of such intent to use application or any registration issuing therefrom under applicable United States federal law, (v) those contracts, receivables, leases or licenses over which the granting of security interests in such contracts, receivables, leases or licenses would be prohibited thereby (in each case, while such prohibitions exist and except to the extent such prohibition is unenforceable after giving effect to applicable provisions of the Uniform Commercial Code or similar statutes and, in each case, other than proceeds thereof to the extent the assignment of such proceeds is expressly deemed effective under the Uniform Commercial Code or similar statutes notwithstanding such prohibitions), (vi) those assets a pledge or other security interest in which would result in a material adverse tax consequence as reasonably determined by the Company, (vii) assets that are subject to a Lien securing a Capital Lease Obligation, purchase money financing or similar arrangements permitted to be incurred under </w:t>
      </w:r>
      <w:r>
        <w:rPr>
          <w:rFonts w:ascii="Arial" w:cs="Arial" w:eastAsia="Arial" w:hAnsi="Arial"/>
          <w:sz w:val="19"/>
          <w:szCs w:val="19"/>
          <w:u w:val="single" w:color="auto"/>
          <w:color w:val="auto"/>
        </w:rPr>
        <w:t>Section 6.02(e)</w:t>
      </w:r>
      <w:r>
        <w:rPr>
          <w:rFonts w:ascii="Arial" w:cs="Arial" w:eastAsia="Arial" w:hAnsi="Arial"/>
          <w:sz w:val="19"/>
          <w:szCs w:val="19"/>
          <w:color w:val="auto"/>
        </w:rPr>
        <w:t xml:space="preserve"> and for so long as the contract or other agreement in which such Lien is granted validly prohibits the creation of any other Lien on such assets and proceeds and (viii)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94" w:name="page95"/>
    <w:bookmarkEnd w:id="94"/>
    <w:p>
      <w:pPr>
        <w:jc w:val="both"/>
        <w:spacing w:after="0" w:line="294" w:lineRule="auto"/>
        <w:rPr>
          <w:sz w:val="20"/>
          <w:szCs w:val="20"/>
          <w:color w:val="auto"/>
        </w:rPr>
      </w:pPr>
      <w:r>
        <w:rPr>
          <w:rFonts w:ascii="Arial" w:cs="Arial" w:eastAsia="Arial" w:hAnsi="Arial"/>
          <w:sz w:val="19"/>
          <w:szCs w:val="19"/>
          <w:color w:val="auto"/>
        </w:rPr>
        <w:t xml:space="preserve">assets as to which the Administrative Agent reasonably determines that the costs of obtaining such security interests in such assets or perfection thereof are excessive in relation to the value of the Lenders of the security to be afforded thereby and (ix) any other property excluded by the relevant Security Documents (the items referred to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above being collectively referred to as the ”</w:t>
      </w:r>
      <w:r>
        <w:rPr>
          <w:rFonts w:ascii="Arial" w:cs="Arial" w:eastAsia="Arial" w:hAnsi="Arial"/>
          <w:sz w:val="19"/>
          <w:szCs w:val="19"/>
          <w:u w:val="single" w:color="auto"/>
          <w:color w:val="auto"/>
        </w:rPr>
        <w:t>Excluded Personal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Excluded Personal Property shall not include any Proceeds (as defined in the Uniform Commercial Code), substitutions or replacements of any Excluded Personal Property (unless such Proceeds, substitutions or replacements would constitute Excluded Personal Property).</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Jurisdiction</w:t>
      </w:r>
      <w:r>
        <w:rPr>
          <w:rFonts w:ascii="Arial" w:cs="Arial" w:eastAsia="Arial" w:hAnsi="Arial"/>
          <w:sz w:val="22"/>
          <w:szCs w:val="22"/>
          <w:color w:val="auto"/>
        </w:rPr>
        <w:t>” means (a) as of the Effective Date, the U.S., the United Kingdom, Brazil, the Netherlands, Norway and Singapore and (b) after the Effective Date, each other jurisdiction of organization or incorporation of any Material Subsidiary, subject to the Collateral and Guarantee Principles.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Vessel</w:t>
      </w:r>
      <w:r>
        <w:rPr>
          <w:rFonts w:ascii="Arial" w:cs="Arial" w:eastAsia="Arial" w:hAnsi="Arial"/>
          <w:sz w:val="22"/>
          <w:szCs w:val="22"/>
          <w:color w:val="auto"/>
        </w:rPr>
        <w:t xml:space="preserve">” means, as of the Effective Date, each Vessel identified on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and, thereafter, each Vessel that becomes a Collateral Vessel in accordance with </w:t>
      </w:r>
      <w:r>
        <w:rPr>
          <w:rFonts w:ascii="Arial" w:cs="Arial" w:eastAsia="Arial" w:hAnsi="Arial"/>
          <w:sz w:val="22"/>
          <w:szCs w:val="22"/>
          <w:u w:val="single" w:color="auto"/>
          <w:color w:val="auto"/>
        </w:rPr>
        <w:t>Section 5.13(d)</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xml:space="preserve">” means, with respect to each Lender, the commitment, if any, of such Lender to make Revolving Loans and to acquire participations in Letters of Credit hereunder, expressed as an amount representing the maximum possible aggregate amount of such Lender’s Revolving Exposure hereunder, as such commitment may be (a) reduced from time to time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(b) reduced or increased from time to time pursuant to assignments by or to such Lender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9.04</w:t>
      </w:r>
      <w:r>
        <w:rPr>
          <w:rFonts w:ascii="Arial" w:cs="Arial" w:eastAsia="Arial" w:hAnsi="Arial"/>
          <w:sz w:val="21"/>
          <w:szCs w:val="21"/>
          <w:color w:val="auto"/>
        </w:rPr>
        <w:t xml:space="preserve">. The initial amount of each Lender’s Commitment is set forth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or in the Assignment and Assumption pursuant to which such Lender shall have assumed its Commitment, as applicable. The initial aggregate amount of the Lender’s Commitments is $1,000,000,000.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Exchange Act</w:t>
      </w:r>
      <w:r>
        <w:rPr>
          <w:rFonts w:ascii="Arial" w:cs="Arial" w:eastAsia="Arial" w:hAnsi="Arial"/>
          <w:sz w:val="19"/>
          <w:szCs w:val="19"/>
          <w:color w:val="auto"/>
        </w:rPr>
        <w:t xml:space="preserve">” means the Commodity Exchange Act (7 U.S.C. § 1 </w:t>
      </w:r>
      <w:r>
        <w:rPr>
          <w:rFonts w:ascii="Arial" w:cs="Arial" w:eastAsia="Arial" w:hAnsi="Arial"/>
          <w:sz w:val="19"/>
          <w:szCs w:val="19"/>
          <w:i w:val="1"/>
          <w:iCs w:val="1"/>
          <w:color w:val="auto"/>
        </w:rPr>
        <w:t>et seq</w:t>
      </w:r>
      <w:r>
        <w:rPr>
          <w:rFonts w:ascii="Arial" w:cs="Arial" w:eastAsia="Arial" w:hAnsi="Arial"/>
          <w:sz w:val="19"/>
          <w:szCs w:val="19"/>
          <w:color w:val="auto"/>
        </w:rPr>
        <w:t>.) and any successor statute.</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xml:space="preserve">” means, collectively, any notice, demand, communication, information, document or other material provided by or on behalf of any Loan Party pursuant to this Agreement or any other Loan Document or the transactions contemplated herein or therein that is distributed to the Administrative Agent, any Lender or any Issuing Bank by means of electronic communications pursuant to </w:t>
      </w:r>
      <w:r>
        <w:rPr>
          <w:rFonts w:ascii="Arial" w:cs="Arial" w:eastAsia="Arial" w:hAnsi="Arial"/>
          <w:sz w:val="22"/>
          <w:szCs w:val="22"/>
          <w:u w:val="single" w:color="auto"/>
          <w:color w:val="auto"/>
        </w:rPr>
        <w:t>Section 9.01</w:t>
      </w:r>
      <w:r>
        <w:rPr>
          <w:rFonts w:ascii="Arial" w:cs="Arial" w:eastAsia="Arial" w:hAnsi="Arial"/>
          <w:sz w:val="22"/>
          <w:szCs w:val="22"/>
          <w:color w:val="auto"/>
        </w:rPr>
        <w:t>, including through the Platform.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assigned to it in the preamble 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Amortization Expense</w:t>
      </w:r>
      <w:r>
        <w:rPr>
          <w:rFonts w:ascii="Arial" w:cs="Arial" w:eastAsia="Arial" w:hAnsi="Arial"/>
          <w:sz w:val="22"/>
          <w:szCs w:val="22"/>
          <w:color w:val="auto"/>
        </w:rPr>
        <w:t>” for any period means the amortization expense of the relevant Person and its Restricted Subsidiaries for such period, determined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95" w:name="page96"/>
    <w:bookmarkEnd w:id="95"/>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Cash Balance</w:t>
      </w:r>
      <w:r>
        <w:rPr>
          <w:rFonts w:ascii="Arial" w:cs="Arial" w:eastAsia="Arial" w:hAnsi="Arial"/>
          <w:sz w:val="19"/>
          <w:szCs w:val="19"/>
          <w:color w:val="auto"/>
        </w:rPr>
        <w:t xml:space="preserve">” means, as of any date of determination, the aggregate amount of all (a) cash, (b) Permitted Investments and (c) any other marketable securities (excluding, for the avoidance of doubt, any equity interests of Technip Energies), treasury bonds and bills, certificates of deposit, investments in money market funds and commercial paper, in each case, (i) held or owned by (either directly or indirectly), (ii) credited to the account of, or (iii) that would otherwise be required to be reflected as an asset on the balance sheet of, the Borrowers or any Restricted Subsidiary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Consolidated Cash Balance shall exclude: (A) any amounts in any fiduciary, escrow or trust account, (B) cash collateral required to cash collateralize any Letter of Credit, (C) any cash or Permitted Investments constituting purchase price deposits held in escrow by an unaffiliated third party pursuant to a binding and enforceable purchase and sale agreement with an unaffiliated third party containing customary provisions regarding the payment and refunding of such deposits, (D) any cash or Permitted Investments for which any Loan Party has, in the ordinary course of business, issued checks or initiated wires or ACH transfers (or, in the case of cash or Permitted Investments that will be used to pay payroll or other Taxes, lease rental payments, renewal of software licenses and other customary general and administrative expenses, will issue checks or initiate wires or ACH transfers within five (5) Business Days in respect of amounts due and owing) in order to utilize such cash or Permitted Investments,</w:t>
      </w:r>
    </w:p>
    <w:p>
      <w:pPr>
        <w:spacing w:after="0" w:line="3" w:lineRule="exact"/>
        <w:rPr>
          <w:sz w:val="20"/>
          <w:szCs w:val="20"/>
          <w:color w:val="auto"/>
        </w:rPr>
      </w:pPr>
    </w:p>
    <w:p>
      <w:pPr>
        <w:jc w:val="both"/>
        <w:ind w:firstLine="8"/>
        <w:spacing w:after="0" w:line="244" w:lineRule="auto"/>
        <w:tabs>
          <w:tab w:leader="none" w:pos="358"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any “trapped” cash in a foreign jurisdiction outside of the Collateral Jurisdictions that cannot be accessed, expatriated or distributed to satisfy the provisions of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as a result of legal, regulatory or other statutory rules and regulations that may exist in the applicable foreign jurisdiction (so long as such cash is not “trapped” as a result of actions taken by the Borrowers in contemplation of availing themselves of this exception in </w:t>
      </w:r>
      <w:r>
        <w:rPr>
          <w:rFonts w:ascii="Arial" w:cs="Arial" w:eastAsia="Arial" w:hAnsi="Arial"/>
          <w:sz w:val="22"/>
          <w:szCs w:val="22"/>
          <w:u w:val="single" w:color="auto"/>
          <w:color w:val="auto"/>
        </w:rPr>
        <w:t>clause (E)</w:t>
      </w:r>
      <w:r>
        <w:rPr>
          <w:rFonts w:ascii="Arial" w:cs="Arial" w:eastAsia="Arial" w:hAnsi="Arial"/>
          <w:sz w:val="22"/>
          <w:szCs w:val="22"/>
          <w:color w:val="auto"/>
        </w:rPr>
        <w:t>) and (F) cash that cannot be expatriated without causing material adverse tax consequences to the Borrowers.</w:t>
      </w:r>
    </w:p>
    <w:p>
      <w:pPr>
        <w:spacing w:after="0" w:line="19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Debt</w:t>
      </w:r>
      <w:r>
        <w:rPr>
          <w:rFonts w:ascii="Arial" w:cs="Arial" w:eastAsia="Arial" w:hAnsi="Arial"/>
          <w:sz w:val="19"/>
          <w:szCs w:val="19"/>
          <w:color w:val="auto"/>
        </w:rPr>
        <w:t>” means, as of any date, the aggregate principal amount of Indebtedness of the type specified in the definition of “Indebtedness” under clauses (a), (b), (e) (but only to the extent supporting Indebtedness of the types specified in clauses (a), (b) and (g) of the definition thereof), (f) (but only to the extent supporting Indebtedness of the types specified in clauses (a), (b) and (g) of the definition thereof), (g), (h) (but only to the extent drawn), (i) (but only to the extend funded) and (j) of the Borrowers and the Restricted Subsidiaries outstanding as of such date determined on a consolidated basis.</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Depreciation Expense</w:t>
      </w:r>
      <w:r>
        <w:rPr>
          <w:rFonts w:ascii="Arial" w:cs="Arial" w:eastAsia="Arial" w:hAnsi="Arial"/>
          <w:sz w:val="22"/>
          <w:szCs w:val="22"/>
          <w:color w:val="auto"/>
        </w:rPr>
        <w:t>” for any period means the depreciation expense of the relevant Person and its Restricted Subsidiaries for such period, determined on a consolidated basis in accordance with GAAP.</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means, for any period, with respect to any specified Person and its Restricted Subsidiaries, without duplication, the sum of the amounts for such period of:</w:t>
      </w:r>
    </w:p>
    <w:p>
      <w:pPr>
        <w:spacing w:after="0" w:line="175" w:lineRule="exact"/>
        <w:rPr>
          <w:sz w:val="20"/>
          <w:szCs w:val="20"/>
          <w:color w:val="auto"/>
        </w:rPr>
      </w:pPr>
    </w:p>
    <w:p>
      <w:pPr>
        <w:ind w:left="1120" w:hanging="464"/>
        <w:spacing w:after="0"/>
        <w:tabs>
          <w:tab w:leader="none" w:pos="11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Consolidated Net Income, </w:t>
      </w:r>
      <w:r>
        <w:rPr>
          <w:rFonts w:ascii="Arial" w:cs="Arial" w:eastAsia="Arial" w:hAnsi="Arial"/>
          <w:sz w:val="22"/>
          <w:szCs w:val="22"/>
          <w:i w:val="1"/>
          <w:iCs w:val="1"/>
          <w:color w:val="auto"/>
        </w:rPr>
        <w:t>plus</w:t>
      </w:r>
    </w:p>
    <w:p>
      <w:pPr>
        <w:spacing w:after="0" w:line="219" w:lineRule="exact"/>
        <w:rPr>
          <w:rFonts w:ascii="Arial" w:cs="Arial" w:eastAsia="Arial" w:hAnsi="Arial"/>
          <w:sz w:val="22"/>
          <w:szCs w:val="22"/>
          <w:color w:val="auto"/>
        </w:rPr>
      </w:pPr>
    </w:p>
    <w:p>
      <w:pPr>
        <w:jc w:val="both"/>
        <w:ind w:firstLine="656"/>
        <w:spacing w:after="0" w:line="312" w:lineRule="auto"/>
        <w:tabs>
          <w:tab w:leader="none" w:pos="1198" w:val="left"/>
        </w:tabs>
        <w:numPr>
          <w:ilvl w:val="0"/>
          <w:numId w:val="39"/>
        </w:numPr>
        <w:rPr>
          <w:rFonts w:ascii="Arial" w:cs="Arial" w:eastAsia="Arial" w:hAnsi="Arial"/>
          <w:sz w:val="19"/>
          <w:szCs w:val="19"/>
          <w:color w:val="auto"/>
        </w:rPr>
      </w:pPr>
      <w:r>
        <w:rPr>
          <w:rFonts w:ascii="Arial" w:cs="Arial" w:eastAsia="Arial" w:hAnsi="Arial"/>
          <w:sz w:val="19"/>
          <w:szCs w:val="19"/>
          <w:color w:val="auto"/>
        </w:rPr>
        <w:t>without duplication, the amount of net cost savings, operating expense reductions and synergies projected by the Company in good faith to be realized as a result of specified actions taken or to be taken (which cost savings, operating expense reductions or synergies shall be calculated on a pro forma basis as though such cost savings, operating expense reductions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96" w:name="page97"/>
    <w:bookmarkEnd w:id="96"/>
    <w:p>
      <w:pPr>
        <w:jc w:val="both"/>
        <w:spacing w:after="0" w:line="247" w:lineRule="auto"/>
        <w:rPr>
          <w:sz w:val="20"/>
          <w:szCs w:val="20"/>
          <w:color w:val="auto"/>
        </w:rPr>
      </w:pPr>
      <w:r>
        <w:rPr>
          <w:rFonts w:ascii="Arial" w:cs="Arial" w:eastAsia="Arial" w:hAnsi="Arial"/>
          <w:sz w:val="22"/>
          <w:szCs w:val="22"/>
          <w:color w:val="auto"/>
        </w:rPr>
        <w:t xml:space="preserve">synergies had been realized on the first day of such period), net of the amount of actual benefits realized during such period from such 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such cost savings, operating expense reductions or synergies are reasonably identifiable and factually supportable, (B) such actions have been taken or are to be taken within 18 months after the date of determination to take such action and (C) the aggregate amounts added to Consolidated EBITDA pursuant to this clause (b) in any such period shall not exceed 15% of Consolidated EBITDA for such period (calculated before giving effect to the adjustment set forth in this clause (b)), </w:t>
      </w:r>
      <w:r>
        <w:rPr>
          <w:rFonts w:ascii="Arial" w:cs="Arial" w:eastAsia="Arial" w:hAnsi="Arial"/>
          <w:sz w:val="22"/>
          <w:szCs w:val="22"/>
          <w:i w:val="1"/>
          <w:iCs w:val="1"/>
          <w:color w:val="auto"/>
        </w:rPr>
        <w:t>plus</w:t>
      </w:r>
    </w:p>
    <w:p>
      <w:pPr>
        <w:spacing w:after="0" w:line="193" w:lineRule="exact"/>
        <w:rPr>
          <w:sz w:val="20"/>
          <w:szCs w:val="20"/>
          <w:color w:val="auto"/>
        </w:rPr>
      </w:pPr>
    </w:p>
    <w:p>
      <w:pPr>
        <w:jc w:val="both"/>
        <w:ind w:firstLine="656"/>
        <w:spacing w:after="0" w:line="265" w:lineRule="auto"/>
        <w:tabs>
          <w:tab w:leader="none" w:pos="1342"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from and after the First Amendment Effective Date, restructuring charges, accruals or reserves (including restructuring costs related to acquisitions and to closure or consolidation of facilities) and other related charges incurred after the First Amendment Effective Date; provided that the aggregate amount of any such restructuring charges, accruals or reserves and other related charges shall not exceed $25,000,000 in any trailing twelve month period, </w:t>
      </w:r>
      <w:r>
        <w:rPr>
          <w:rFonts w:ascii="Arial" w:cs="Arial" w:eastAsia="Arial" w:hAnsi="Arial"/>
          <w:sz w:val="21"/>
          <w:szCs w:val="21"/>
          <w:i w:val="1"/>
          <w:iCs w:val="1"/>
          <w:color w:val="auto"/>
        </w:rPr>
        <w:t>plus</w:t>
      </w:r>
    </w:p>
    <w:p>
      <w:pPr>
        <w:spacing w:after="0" w:line="175" w:lineRule="exact"/>
        <w:rPr>
          <w:rFonts w:ascii="Arial" w:cs="Arial" w:eastAsia="Arial" w:hAnsi="Arial"/>
          <w:sz w:val="21"/>
          <w:szCs w:val="21"/>
          <w:color w:val="auto"/>
        </w:rPr>
      </w:pPr>
    </w:p>
    <w:p>
      <w:pPr>
        <w:ind w:left="1120" w:hanging="464"/>
        <w:spacing w:after="0"/>
        <w:tabs>
          <w:tab w:leader="none" w:pos="11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each case only to the extent deducted in determining Consolidated Net Income,</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40"/>
        </w:numPr>
        <w:rPr>
          <w:rFonts w:ascii="Arial" w:cs="Arial" w:eastAsia="Arial" w:hAnsi="Arial"/>
          <w:sz w:val="22"/>
          <w:szCs w:val="22"/>
          <w:color w:val="auto"/>
        </w:rPr>
      </w:pPr>
      <w:r>
        <w:rPr>
          <w:rFonts w:ascii="Arial" w:cs="Arial" w:eastAsia="Arial" w:hAnsi="Arial"/>
          <w:sz w:val="22"/>
          <w:szCs w:val="22"/>
          <w:color w:val="auto"/>
        </w:rPr>
        <w:t>Consolidated Income Tax Expense,</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Consolidated Amortization Expense,</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Consolidated Depreciation Expense,</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Consolidated Interest Expense, and</w:t>
      </w:r>
    </w:p>
    <w:p>
      <w:pPr>
        <w:spacing w:after="0" w:line="219" w:lineRule="exact"/>
        <w:rPr>
          <w:rFonts w:ascii="Arial" w:cs="Arial" w:eastAsia="Arial" w:hAnsi="Arial"/>
          <w:sz w:val="22"/>
          <w:szCs w:val="22"/>
          <w:color w:val="auto"/>
        </w:rPr>
      </w:pPr>
    </w:p>
    <w:p>
      <w:pPr>
        <w:ind w:left="660" w:firstLine="644"/>
        <w:spacing w:after="0" w:line="263" w:lineRule="auto"/>
        <w:tabs>
          <w:tab w:leader="none" w:pos="1821"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all other non-cash items reducing the Consolidated Net Income (excluding any non-cash charge that results in an accrual of a reserve for cash charges in any future period) for such period, </w:t>
      </w:r>
      <w:r>
        <w:rPr>
          <w:rFonts w:ascii="Arial" w:cs="Arial" w:eastAsia="Arial" w:hAnsi="Arial"/>
          <w:sz w:val="22"/>
          <w:szCs w:val="22"/>
          <w:i w:val="1"/>
          <w:iCs w:val="1"/>
          <w:color w:val="auto"/>
        </w:rPr>
        <w:t>minus</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15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aggregate amount of all non-cash items, determined on a consolidated basis, to the extent such items increased Consolidated Net Income for such period (other than accrual of revenue in the ordinary course or any non-cash items to the extent they represent the reversal of an accrual of a reserve for a potential cash item that reduced Consolidated EBITDA in any prior period).</w:t>
      </w:r>
    </w:p>
    <w:p>
      <w:pPr>
        <w:spacing w:after="0" w:line="18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Notwithstanding anything to the contrary, contained herein, Consolidated EBITDA for (a) the fiscal quarter ended March 31, 2020, shall be deemed to be $84.6 million, (b) the fiscal quarter ended June 30, 2020, shall be deemed to be $77.0 million, (c) the fiscal quarter ended September 30, 2020, shall be deemed to be $136.3 million and (d) the fiscal quarter ended December 31, 2020, shall be deemed to be $130.2 million.</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First Lien Net Debt</w:t>
      </w:r>
      <w:r>
        <w:rPr>
          <w:rFonts w:ascii="Arial" w:cs="Arial" w:eastAsia="Arial" w:hAnsi="Arial"/>
          <w:sz w:val="21"/>
          <w:szCs w:val="21"/>
          <w:color w:val="auto"/>
        </w:rPr>
        <w:t xml:space="preserve">” means, as of any date, Consolidated Debt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the sum of (a) the portion of Indebtedness of the Borrowers and the Restricted Subsidiaries included in Consolidated Debt that is not secured by any Lien on the Collateral, (b) the portion of Indebtedness of the Borrowers and the Restricted Subsidiaries included in Consolidated Debt that is secured by Liens on the Collateral, which Liens are expressly subordinated or junior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97" w:name="page98"/>
    <w:bookmarkEnd w:id="97"/>
    <w:p>
      <w:pPr>
        <w:jc w:val="both"/>
        <w:spacing w:after="0" w:line="253" w:lineRule="auto"/>
        <w:rPr>
          <w:sz w:val="20"/>
          <w:szCs w:val="20"/>
          <w:color w:val="auto"/>
        </w:rPr>
      </w:pPr>
      <w:r>
        <w:rPr>
          <w:rFonts w:ascii="Arial" w:cs="Arial" w:eastAsia="Arial" w:hAnsi="Arial"/>
          <w:sz w:val="22"/>
          <w:szCs w:val="22"/>
          <w:color w:val="auto"/>
        </w:rPr>
        <w:t>Liens securing the Revolving Loans, and (c) the amount of unrestricted cash and cash equivalents held on such date by the Borrowers and the Guarantors, not to exceed (A) if any Loans are outstanding on such date, $250,000,000 and (B) otherwise, $500,000,000.</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Income Tax Expense</w:t>
      </w:r>
      <w:r>
        <w:rPr>
          <w:rFonts w:ascii="Arial" w:cs="Arial" w:eastAsia="Arial" w:hAnsi="Arial"/>
          <w:sz w:val="22"/>
          <w:szCs w:val="22"/>
          <w:color w:val="auto"/>
        </w:rPr>
        <w:t>” for any period means the provision for taxes of the relevant Person and its Restricted Subsidiaries, determined on a consolidated basis in accordance with GAAP.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means, for any period, the sum, without duplication, of:</w:t>
      </w:r>
    </w:p>
    <w:p>
      <w:pPr>
        <w:spacing w:after="0" w:line="220" w:lineRule="exact"/>
        <w:rPr>
          <w:sz w:val="20"/>
          <w:szCs w:val="20"/>
          <w:color w:val="auto"/>
        </w:rPr>
      </w:pPr>
    </w:p>
    <w:p>
      <w:pPr>
        <w:jc w:val="both"/>
        <w:ind w:firstLine="656"/>
        <w:spacing w:after="0" w:line="287" w:lineRule="auto"/>
        <w:tabs>
          <w:tab w:leader="none" w:pos="1225"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consolidated interest expense of such Person and its Restricted Subsidiaries for such period, to the extent such expense was deducted (and not added back) in computing Consolidated Net Income, including (i) amortization of original issue discount or premium resulting from the issuance of Indebtedness at less than or greater than par, as applicable, (ii) all commissions, discounts and other fees and charges owed with respect to bankers acceptances, (iii) non-cash interest payments (but excluding any non-cash interest expense attributable to the movement in the mark to market valuation of Indebtedness or derivative instruments pursuant to GAAP), (iv) the interest component of Capital Lease Obligations and (v) net payments, if any, pursuant to interest rate Hedging Agreements with respect to Indebtedness, and excluding (1) any one-time cash costs associated with breakage in respect interest rate Hedging Agreements with respect to Indebtedness, (2) penalties and interest relating to taxes, (3) accretion or accrual of discounted liabilities not constituting Indebtedness, (4) any expense resulting from the discounting of Indebtedness in connection with the application of recapitalization or purchase accounting, (5) amortization or “write-off” of deferred financing costs and expenses, and (6) any expensing of bridge, commitment and other financing fees related to the Transactions or any acquisitions after the Effective Date; </w:t>
      </w:r>
      <w:r>
        <w:rPr>
          <w:rFonts w:ascii="Arial" w:cs="Arial" w:eastAsia="Arial" w:hAnsi="Arial"/>
          <w:sz w:val="19"/>
          <w:szCs w:val="19"/>
          <w:i w:val="1"/>
          <w:iCs w:val="1"/>
          <w:color w:val="auto"/>
        </w:rPr>
        <w:t>plus</w:t>
      </w:r>
    </w:p>
    <w:p>
      <w:pPr>
        <w:spacing w:after="0" w:line="158" w:lineRule="exact"/>
        <w:rPr>
          <w:rFonts w:ascii="Arial" w:cs="Arial" w:eastAsia="Arial" w:hAnsi="Arial"/>
          <w:sz w:val="19"/>
          <w:szCs w:val="19"/>
          <w:color w:val="auto"/>
        </w:rPr>
      </w:pPr>
    </w:p>
    <w:p>
      <w:pPr>
        <w:ind w:left="1240" w:hanging="584"/>
        <w:spacing w:after="0"/>
        <w:tabs>
          <w:tab w:leader="none" w:pos="12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consolidated capitalized interest of such Person and its Restricted Subsidiaries for such period, whether paid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accrued, </w:t>
      </w:r>
      <w:r>
        <w:rPr>
          <w:rFonts w:ascii="Arial" w:cs="Arial" w:eastAsia="Arial" w:hAnsi="Arial"/>
          <w:sz w:val="22"/>
          <w:szCs w:val="22"/>
          <w:i w:val="1"/>
          <w:iCs w:val="1"/>
          <w:color w:val="auto"/>
        </w:rPr>
        <w:t>less</w:t>
      </w:r>
    </w:p>
    <w:p>
      <w:pPr>
        <w:spacing w:after="0" w:line="201" w:lineRule="exact"/>
        <w:rPr>
          <w:rFonts w:ascii="Arial" w:cs="Arial" w:eastAsia="Arial" w:hAnsi="Arial"/>
          <w:sz w:val="19"/>
          <w:szCs w:val="19"/>
          <w:color w:val="auto"/>
        </w:rPr>
      </w:pPr>
    </w:p>
    <w:p>
      <w:pPr>
        <w:ind w:left="1120" w:hanging="464"/>
        <w:spacing w:after="0"/>
        <w:tabs>
          <w:tab w:leader="none" w:pos="11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interest income for such period.</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Debt</w:t>
      </w:r>
      <w:r>
        <w:rPr>
          <w:rFonts w:ascii="Arial" w:cs="Arial" w:eastAsia="Arial" w:hAnsi="Arial"/>
          <w:sz w:val="19"/>
          <w:szCs w:val="19"/>
          <w:color w:val="auto"/>
        </w:rPr>
        <w:t>” means, as of any date, (a) Consolidated Debt minus (b) the amount of unrestricted cash and cash equivalents held on such date by the Borrowers and the Guarantors, not to exceed (i) prior to June 30, 2021, $550,000,000 and (ii) on and after June 30, 2021, (A) if any Loans are outstanding on such date, $250,000,000 and (B) otherwise, $500,000,000.</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with respect to any Person for any period, the net income (or loss) of such Person and its Restricted Subsidiaries, in each case for such period determined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in calculating such net income (or loss), to the extent otherwise included therein, without duplication:</w:t>
      </w:r>
    </w:p>
    <w:p>
      <w:pPr>
        <w:spacing w:after="0" w:line="133" w:lineRule="exact"/>
        <w:rPr>
          <w:sz w:val="20"/>
          <w:szCs w:val="20"/>
          <w:color w:val="auto"/>
        </w:rPr>
      </w:pPr>
    </w:p>
    <w:p>
      <w:pPr>
        <w:ind w:firstLine="656"/>
        <w:spacing w:after="0" w:line="263" w:lineRule="auto"/>
        <w:tabs>
          <w:tab w:leader="none" w:pos="1219"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net income (or loss) of any Person (other than a Restricted Subsidiary) in which any Person other than the Company and the Restricted Subsidiaries has an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98" w:name="page99"/>
    <w:bookmarkEnd w:id="98"/>
    <w:p>
      <w:pPr>
        <w:jc w:val="both"/>
        <w:spacing w:after="0" w:line="294" w:lineRule="auto"/>
        <w:rPr>
          <w:sz w:val="20"/>
          <w:szCs w:val="20"/>
          <w:color w:val="auto"/>
        </w:rPr>
      </w:pPr>
      <w:r>
        <w:rPr>
          <w:rFonts w:ascii="Arial" w:cs="Arial" w:eastAsia="Arial" w:hAnsi="Arial"/>
          <w:sz w:val="19"/>
          <w:szCs w:val="19"/>
          <w:color w:val="auto"/>
        </w:rPr>
        <w:t xml:space="preserve">interest, except to the extent that cash in an amount equal to any such income has actually been received by the Company or any of its Restricted Subsidiaries during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Specified Joint Venture, any cash received by the Company or any of its Restricted Subsidiaries during such period shall be excluded in calculating such net income (or loss) of the Company or any such Restricted Subsidiary to the extent that any Specified Joint Venture Indebtedness that is guaranteed or otherwise incurred by the Company or any Restricted Subsidiary is outstanding in respect of such Specified Joint Venture and is not consolidated on the balance sheet of the Company and its Restricted Subsidiaries,</w:t>
      </w:r>
    </w:p>
    <w:p>
      <w:pPr>
        <w:spacing w:after="0" w:line="149" w:lineRule="exact"/>
        <w:rPr>
          <w:sz w:val="20"/>
          <w:szCs w:val="20"/>
          <w:color w:val="auto"/>
        </w:rPr>
      </w:pPr>
    </w:p>
    <w:p>
      <w:pPr>
        <w:jc w:val="both"/>
        <w:ind w:firstLine="656"/>
        <w:spacing w:after="0" w:line="250" w:lineRule="auto"/>
        <w:tabs>
          <w:tab w:leader="none" w:pos="11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except to the extent includible in the net income (or loss) of the Company pursuant to the foregoing clause (1), the net income (or loss) of any Person that accrued prior to the date that (a) such Person becomes a Restricted Subsidiary or is merged into or consolidated with the Company or any Restricted Subsidiary or (b) the assets of such Person are acquired by the Company or any Restricted Subsidiary;</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258"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net income of any Restricted Subsidiary other than a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91" w:lineRule="exact"/>
        <w:rPr>
          <w:rFonts w:ascii="Arial" w:cs="Arial" w:eastAsia="Arial" w:hAnsi="Arial"/>
          <w:sz w:val="22"/>
          <w:szCs w:val="22"/>
          <w:color w:val="auto"/>
        </w:rPr>
      </w:pPr>
    </w:p>
    <w:p>
      <w:pPr>
        <w:ind w:left="1120" w:hanging="464"/>
        <w:spacing w:after="0"/>
        <w:tabs>
          <w:tab w:leader="none" w:pos="11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gains or losses attributable to discontinued operations,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1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gain (or loss), together with any related provisions for taxes on any such gain (or the tax effect of any such loss), realized during such period by the Company or any Restricted Subsidiary upon any asset sale by the Company or any Restricted Subsidiary,</w:t>
      </w:r>
    </w:p>
    <w:p>
      <w:pPr>
        <w:spacing w:after="0" w:line="185" w:lineRule="exact"/>
        <w:rPr>
          <w:rFonts w:ascii="Arial" w:cs="Arial" w:eastAsia="Arial" w:hAnsi="Arial"/>
          <w:sz w:val="22"/>
          <w:szCs w:val="22"/>
          <w:color w:val="auto"/>
        </w:rPr>
      </w:pPr>
    </w:p>
    <w:p>
      <w:pPr>
        <w:ind w:left="1220" w:hanging="564"/>
        <w:spacing w:after="0"/>
        <w:tabs>
          <w:tab w:leader="none" w:pos="12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non-cash gains and losses due solely to fluctuations in currency values and the related tax effects according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GAAP,</w:t>
      </w:r>
    </w:p>
    <w:p>
      <w:pPr>
        <w:spacing w:after="0" w:line="201" w:lineRule="exact"/>
        <w:rPr>
          <w:rFonts w:ascii="Arial" w:cs="Arial" w:eastAsia="Arial" w:hAnsi="Arial"/>
          <w:sz w:val="19"/>
          <w:szCs w:val="19"/>
          <w:color w:val="auto"/>
        </w:rPr>
      </w:pPr>
    </w:p>
    <w:p>
      <w:pPr>
        <w:ind w:left="1120" w:hanging="464"/>
        <w:spacing w:after="0"/>
        <w:tabs>
          <w:tab w:leader="none" w:pos="11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non-cash gains and losses with respect to Hedging Agreements,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cumulative effect of any change in accounting principles or policies,</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(A) any costs, expenses or charges (including advisory, legal and professional fees) related to any issuance of debt or equity, investments, acquisition, disposition, recapitalization or incurrence, amendment, waiver, modification, extinguishment or refinancing of any Indebtedness, whether or not consummated,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all such costs, expenses and charges so excluded shall not exceed $20,000,000 in any fiscal year and (B) any costs, expenses or charges relating to the Transactions,</w:t>
      </w:r>
    </w:p>
    <w:p>
      <w:pPr>
        <w:spacing w:after="0" w:line="191" w:lineRule="exact"/>
        <w:rPr>
          <w:rFonts w:ascii="Arial" w:cs="Arial" w:eastAsia="Arial" w:hAnsi="Arial"/>
          <w:sz w:val="22"/>
          <w:szCs w:val="22"/>
          <w:color w:val="auto"/>
        </w:rPr>
      </w:pPr>
    </w:p>
    <w:p>
      <w:pPr>
        <w:jc w:val="both"/>
        <w:ind w:firstLine="656"/>
        <w:spacing w:after="0" w:line="253" w:lineRule="auto"/>
        <w:tabs>
          <w:tab w:leader="none" w:pos="1073"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non-cash charges or expenses with respect to the grant of stock options, restricted stock or other equity compensation awards and the non-cash interest expense with respect to the equity component of any convertible or exchangeable debt security,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99" w:name="page100"/>
    <w:bookmarkEnd w:id="99"/>
    <w:p>
      <w:pPr>
        <w:ind w:left="1120" w:hanging="464"/>
        <w:spacing w:after="0"/>
        <w:tabs>
          <w:tab w:leader="none" w:pos="11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goodwill write-downs or other non-cash impairments of assets.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Unless the context otherwise requires, “Consolidated Total Assets” refers to the Consolidated Total Assets of the Company and its Restricted Subsidiaries.</w:t>
      </w:r>
    </w:p>
    <w:p>
      <w:pPr>
        <w:spacing w:after="0" w:line="1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have meanings correlative thereto.</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the Administrative Agent, each Issuing Bank and each other Lender.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“CTA</w:t>
      </w:r>
      <w:r>
        <w:rPr>
          <w:rFonts w:ascii="Arial" w:cs="Arial" w:eastAsia="Arial" w:hAnsi="Arial"/>
          <w:sz w:val="22"/>
          <w:szCs w:val="22"/>
          <w:color w:val="auto"/>
        </w:rPr>
        <w:t>” means the UK Corporation Tax Act 2009.</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ESTR</w:t>
      </w:r>
      <w:r>
        <w:rPr>
          <w:rFonts w:ascii="Arial" w:cs="Arial" w:eastAsia="Arial" w:hAnsi="Arial"/>
          <w:sz w:val="22"/>
          <w:szCs w:val="22"/>
          <w:color w:val="auto"/>
        </w:rPr>
        <w:t xml:space="preserve">” means, for any day, ESTR, with the conventions for this rate (which may include a lookback) being established by the Administrative Agent in accordance with the conventions for this rate selected or recommended by the Relevant Governmental Body for determining “Daily Simple ESTR” for business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SOFR</w:t>
      </w:r>
      <w:r>
        <w:rPr>
          <w:rFonts w:ascii="Arial" w:cs="Arial" w:eastAsia="Arial" w:hAnsi="Arial"/>
          <w:sz w:val="22"/>
          <w:szCs w:val="22"/>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SONIA</w:t>
      </w:r>
      <w:r>
        <w:rPr>
          <w:rFonts w:ascii="Arial" w:cs="Arial" w:eastAsia="Arial" w:hAnsi="Arial"/>
          <w:sz w:val="22"/>
          <w:szCs w:val="22"/>
          <w:color w:val="auto"/>
        </w:rPr>
        <w:t xml:space="preserve">” means, for any day, SONIA, with the conventions for this rate (which will include a lookback) being established by the Administrative Agent in accordance with the conventions for this rate selected or recommended by the Relevant Governmental Body for determining “Daily Simple SONIA” for business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100" w:name="page101"/>
    <w:bookmarkEnd w:id="100"/>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 Bankruptcy Code, UK Insolvency Act, UK Corporate Insolvency and Governance Act 2020 and all other liquidation, conservatorship, bankruptcy, assignment for the benefit of creditors, moratorium, rearrangement, receivership, insolvency, reorganization, restructuring, restructuring plan or similar debtor relief laws of the United States, the United Kingdom or other applicable jurisdictions from time to time in effect.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an Event of Default or that upon notice, lapse of time or both would, unless cured or waived, constitute an Event of Default.</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the receipt by such Credit Party of such certification in form and substance satisfactory to it and the Administrative Agent, or (d) has become the subject of (i) a Bankruptcy Event or (ii) a Bail-In Action.</w:t>
      </w:r>
    </w:p>
    <w:p>
      <w:pPr>
        <w:spacing w:after="0" w:line="1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Non-Cash Consideration</w:t>
      </w:r>
      <w:r>
        <w:rPr>
          <w:rFonts w:ascii="Arial" w:cs="Arial" w:eastAsia="Arial" w:hAnsi="Arial"/>
          <w:sz w:val="22"/>
          <w:szCs w:val="22"/>
          <w:color w:val="auto"/>
        </w:rPr>
        <w:t xml:space="preserve">” means the fair market value of non-cash consideration received by either Borrower or any Restricted Subsidiary in connection with a disposition pursuant to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that is designated as Designated Non-Cash Consideration pursuant to a certificate of an executive officer, setting forth the basis of such valuation (which amount will be reduced by the fair market value of the portion of the non-cash consideration converted to cash within 180 days following the consummation of such disposition).</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w:t>
      </w:r>
      <w:r>
        <w:rPr>
          <w:rFonts w:ascii="Arial" w:cs="Arial" w:eastAsia="Arial" w:hAnsi="Arial"/>
          <w:sz w:val="19"/>
          <w:szCs w:val="19"/>
          <w:color w:val="auto"/>
        </w:rPr>
        <w:t xml:space="preserve">” means any Equity Interest that (a) matures or is mandatorily redeemable (other than solely for Qualified Equity Interests) or subject to mandatory repurchase or redemption or repurchase at the option of the holders thereof, in each case in whole or in part and whether upon the occurrence of any event, pursuant to a sinking fund obligation on a fixed date or otherwise, prior to the date that is 91 days after the Maturity Date, other than (i) upon payment in full of the Loan Document Obligations, reduction of the LC Exposure to zero and termination of the Commitments or (ii) upon a “change in control” or asset sale or casualty or condemnation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payment required pursuant to this clause (ii)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101" w:name="page102"/>
    <w:bookmarkEnd w:id="101"/>
    <w:p>
      <w:pPr>
        <w:jc w:val="both"/>
        <w:spacing w:after="0" w:line="258" w:lineRule="auto"/>
        <w:rPr>
          <w:sz w:val="20"/>
          <w:szCs w:val="20"/>
          <w:color w:val="auto"/>
        </w:rPr>
      </w:pPr>
      <w:r>
        <w:rPr>
          <w:rFonts w:ascii="Arial" w:cs="Arial" w:eastAsia="Arial" w:hAnsi="Arial"/>
          <w:sz w:val="21"/>
          <w:szCs w:val="21"/>
          <w:color w:val="auto"/>
        </w:rPr>
        <w:t xml:space="preserve">subject to the prior repayment in full of the Loans or the terms of such Equity Interest shall provide that a Person may not repurchase such Equity Interest unless such Person would be permitted to do so in compliance with </w:t>
      </w:r>
      <w:r>
        <w:rPr>
          <w:rFonts w:ascii="Arial" w:cs="Arial" w:eastAsia="Arial" w:hAnsi="Arial"/>
          <w:sz w:val="21"/>
          <w:szCs w:val="21"/>
          <w:u w:val="single" w:color="auto"/>
          <w:color w:val="auto"/>
        </w:rPr>
        <w:t>Section 6.08</w:t>
      </w:r>
      <w:r>
        <w:rPr>
          <w:rFonts w:ascii="Arial" w:cs="Arial" w:eastAsia="Arial" w:hAnsi="Arial"/>
          <w:sz w:val="21"/>
          <w:szCs w:val="21"/>
          <w:color w:val="auto"/>
        </w:rPr>
        <w:t xml:space="preserve"> or (b) is convertible or exchangeable, automatically or at the option of any holder thereof, into (i) any Indebtedness (other than any Indebtedness described in clause (j) of the definition thereof) or (ii) any Equity Interests or other assets other than Qualified Equity Interests, in each case at any time prior to the date that is 91 days after the Maturity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 and (y) any Equity Interest that would constitute a Disqualified Equity Interest solely as a result of a redemption feature that is conditioned upon, or subject to, compliance with </w:t>
      </w:r>
      <w:r>
        <w:rPr>
          <w:rFonts w:ascii="Arial" w:cs="Arial" w:eastAsia="Arial" w:hAnsi="Arial"/>
          <w:sz w:val="21"/>
          <w:szCs w:val="21"/>
          <w:u w:val="single" w:color="auto"/>
          <w:color w:val="auto"/>
        </w:rPr>
        <w:t>Section 6.08</w:t>
      </w:r>
      <w:r>
        <w:rPr>
          <w:rFonts w:ascii="Arial" w:cs="Arial" w:eastAsia="Arial" w:hAnsi="Arial"/>
          <w:sz w:val="21"/>
          <w:szCs w:val="21"/>
          <w:color w:val="auto"/>
        </w:rPr>
        <w:t xml:space="preserve"> shall not constitute a Disqualified Equity Interest.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means those Persons (the list of all such Persons, the “</w:t>
      </w:r>
      <w:r>
        <w:rPr>
          <w:rFonts w:ascii="Arial" w:cs="Arial" w:eastAsia="Arial" w:hAnsi="Arial"/>
          <w:sz w:val="19"/>
          <w:szCs w:val="19"/>
          <w:u w:val="single" w:color="auto"/>
          <w:color w:val="auto"/>
        </w:rPr>
        <w:t>Disqualified Institutions List</w:t>
      </w:r>
      <w:r>
        <w:rPr>
          <w:rFonts w:ascii="Arial" w:cs="Arial" w:eastAsia="Arial" w:hAnsi="Arial"/>
          <w:sz w:val="19"/>
          <w:szCs w:val="19"/>
          <w:color w:val="auto"/>
        </w:rPr>
        <w:t>”) that are</w:t>
      </w:r>
    </w:p>
    <w:p>
      <w:pPr>
        <w:spacing w:after="0" w:line="56" w:lineRule="exact"/>
        <w:rPr>
          <w:sz w:val="20"/>
          <w:szCs w:val="20"/>
          <w:color w:val="auto"/>
        </w:rPr>
      </w:pPr>
    </w:p>
    <w:p>
      <w:pPr>
        <w:jc w:val="both"/>
        <w:ind w:firstLine="8"/>
        <w:spacing w:after="0" w:line="284" w:lineRule="auto"/>
        <w:tabs>
          <w:tab w:leader="none" w:pos="302"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reasonably determined by the Company to be direct competitors of the Company or any of its Subsidiaries that are identified in writing by the Company on a Disqualified Institutions List delivered after the Effective Date and from time to time thereafter in a supplement to the Disqualified Institutions List or (b) Affiliates of such Persons set forth in clause (a) other than any Bona Fide Debt Fund) that are either (i) identified in writing by the Company from time to time in a supplement to the Disqualified Institutions List or (ii) clearly identifiable solely on the basis of the similarity of such Affiliate’s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Persons are identified as Disqualified Institutions in a written list or supplement thereto delivered by the Company after the Effective Date, the inclusion of such Persons as Disqualified Institutions shall not retroactively apply to disqualify any Person that has previously acquired an assignment or participation interest in any Loans or entered into a trade for either of the foregoing. Notwithstanding the foregoing, the Company, by written notice to the Administrative Agent, may from time to time in its sole discretion remove any Person from the Disqualified Institutions List (or otherwise modify such list to exclude any particular Person), and such Person removed or excluded from the Disqualified Institutions List shall no longer be a Disqualified Institution for any purpose under this Agreement or any other Loan Document, unless subsequently identified in writing in accordance with this definition. The Company shall deliver the Disqualified Institutions List and any updates, supplements or modifications thereto to </w:t>
      </w:r>
      <w:r>
        <w:rPr>
          <w:rFonts w:ascii="Arial" w:cs="Arial" w:eastAsia="Arial" w:hAnsi="Arial"/>
          <w:sz w:val="19"/>
          <w:szCs w:val="19"/>
          <w:u w:val="single" w:color="auto"/>
          <w:color w:val="0048E4"/>
        </w:rPr>
        <w:t>JPMDQ_Contact@jpmorgan.com</w:t>
      </w:r>
      <w:r>
        <w:rPr>
          <w:rFonts w:ascii="Arial" w:cs="Arial" w:eastAsia="Arial" w:hAnsi="Arial"/>
          <w:sz w:val="19"/>
          <w:szCs w:val="19"/>
          <w:color w:val="auto"/>
        </w:rPr>
        <w:t xml:space="preserve"> and any such updates, supplements or modifications thereto shall only become effective three (3) Business Days after such update, supplement or modification has been sent to such email address. In the event the Disqualified Institutions List is not delivered in accordance with the foregoing, it shall be deemed not received and not effective.</w:t>
      </w:r>
    </w:p>
    <w:p>
      <w:pPr>
        <w:spacing w:after="0" w:line="200" w:lineRule="exact"/>
        <w:rPr>
          <w:sz w:val="20"/>
          <w:szCs w:val="20"/>
          <w:color w:val="auto"/>
        </w:rPr>
      </w:pPr>
    </w:p>
    <w:p>
      <w:pPr>
        <w:spacing w:after="0" w:line="222" w:lineRule="exact"/>
        <w:rPr>
          <w:sz w:val="20"/>
          <w:szCs w:val="20"/>
          <w:color w:val="auto"/>
        </w:rPr>
      </w:pPr>
    </w:p>
    <w:p>
      <w:pPr>
        <w:ind w:left="660" w:right="1380"/>
        <w:spacing w:after="0" w:line="46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Institutions List</w:t>
      </w:r>
      <w:r>
        <w:rPr>
          <w:rFonts w:ascii="Arial" w:cs="Arial" w:eastAsia="Arial" w:hAnsi="Arial"/>
          <w:sz w:val="22"/>
          <w:szCs w:val="22"/>
          <w:color w:val="auto"/>
        </w:rPr>
        <w:t>” has the meaning as set forth in the definition of “Disqualified Institutions.” “</w:t>
      </w:r>
      <w:r>
        <w:rPr>
          <w:rFonts w:ascii="Arial" w:cs="Arial" w:eastAsia="Arial" w:hAnsi="Arial"/>
          <w:sz w:val="22"/>
          <w:szCs w:val="22"/>
          <w:u w:val="single" w:color="auto"/>
          <w:color w:val="auto"/>
        </w:rPr>
        <w:t>Distribution</w:t>
      </w:r>
      <w:r>
        <w:rPr>
          <w:rFonts w:ascii="Arial" w:cs="Arial" w:eastAsia="Arial" w:hAnsi="Arial"/>
          <w:sz w:val="22"/>
          <w:szCs w:val="22"/>
          <w:color w:val="auto"/>
        </w:rPr>
        <w:t>” has the meaning as set forth in the definition of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102" w:name="page103"/>
    <w:bookmarkEnd w:id="102"/>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Agreement</w:t>
      </w:r>
      <w:r>
        <w:rPr>
          <w:rFonts w:ascii="Arial" w:cs="Arial" w:eastAsia="Arial" w:hAnsi="Arial"/>
          <w:sz w:val="22"/>
          <w:szCs w:val="22"/>
          <w:color w:val="auto"/>
        </w:rPr>
        <w:t>” means the Separation and Distribution Agreement between Technip Energies and the Company, dated January 7, 2021.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Documentation Agent</w:t>
      </w:r>
      <w:r>
        <w:rPr>
          <w:rFonts w:ascii="Arial" w:cs="Arial" w:eastAsia="Arial" w:hAnsi="Arial"/>
          <w:sz w:val="22"/>
          <w:szCs w:val="22"/>
          <w:color w:val="auto"/>
        </w:rPr>
        <w:t>” means Standard Chartered Bank.</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Dofcon Brasil</w:t>
      </w:r>
      <w:r>
        <w:rPr>
          <w:rFonts w:ascii="Arial" w:cs="Arial" w:eastAsia="Arial" w:hAnsi="Arial"/>
          <w:sz w:val="22"/>
          <w:szCs w:val="22"/>
          <w:color w:val="auto"/>
        </w:rPr>
        <w:t>” means a joint venture arrangement between (a) Technip Coflexip Norge AS, a Subsidiary of the Company as of the Effective Date and (b) Dof ASA.</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Dofcon Navegação</w:t>
      </w:r>
      <w:r>
        <w:rPr>
          <w:rFonts w:ascii="Arial" w:cs="Arial" w:eastAsia="Arial" w:hAnsi="Arial"/>
          <w:sz w:val="22"/>
          <w:szCs w:val="22"/>
          <w:color w:val="auto"/>
        </w:rPr>
        <w:t>” means Dofcon Navegação Ltda., a Brazilian joint venture arrangement owned by (a) Dofcon Brasil and (b) Technip Offshore International SAS, a Subsidiary of the Company as of the Effective Date, which holds the Vessels Skandi Vitoria, Skandi Niteroi, Skandi Recife and Skandi Olinda as of the Effective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xml:space="preserve">” means, at any time, (a) with respect to any amount denominated in dollars, such amount and (b) with respect to any amount denominated in any Alternative Currency, the equivalent amount thereof in dollars at such time as determined in accordance with </w:t>
      </w:r>
      <w:r>
        <w:rPr>
          <w:rFonts w:ascii="Arial" w:cs="Arial" w:eastAsia="Arial" w:hAnsi="Arial"/>
          <w:sz w:val="22"/>
          <w:szCs w:val="22"/>
          <w:u w:val="single" w:color="auto"/>
          <w:color w:val="auto"/>
        </w:rPr>
        <w:t>Section 1.06(a)</w:t>
      </w:r>
      <w:r>
        <w:rPr>
          <w:rFonts w:ascii="Arial" w:cs="Arial" w:eastAsia="Arial" w:hAnsi="Arial"/>
          <w:sz w:val="22"/>
          <w:szCs w:val="22"/>
          <w:color w:val="auto"/>
        </w:rPr>
        <w: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Financial Supervision Act”</w:t>
      </w:r>
      <w:r>
        <w:rPr>
          <w:rFonts w:ascii="Arial" w:cs="Arial" w:eastAsia="Arial" w:hAnsi="Arial"/>
          <w:sz w:val="22"/>
          <w:szCs w:val="22"/>
          <w:color w:val="auto"/>
        </w:rPr>
        <w:t xml:space="preserve"> means the Dutch Financial Supervision Act (</w:t>
      </w:r>
      <w:r>
        <w:rPr>
          <w:rFonts w:ascii="Arial" w:cs="Arial" w:eastAsia="Arial" w:hAnsi="Arial"/>
          <w:sz w:val="22"/>
          <w:szCs w:val="22"/>
          <w:i w:val="1"/>
          <w:iCs w:val="1"/>
          <w:color w:val="auto"/>
        </w:rPr>
        <w:t>Wet op het financieel toezicht</w:t>
      </w:r>
      <w:r>
        <w:rPr>
          <w:rFonts w:ascii="Arial" w:cs="Arial" w:eastAsia="Arial" w:hAnsi="Arial"/>
          <w:sz w:val="22"/>
          <w:szCs w:val="22"/>
          <w:color w:val="auto"/>
        </w:rPr>
        <w:t>) and the rules and regulations promulgated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Loan Party</w:t>
      </w:r>
      <w:r>
        <w:rPr>
          <w:rFonts w:ascii="Arial" w:cs="Arial" w:eastAsia="Arial" w:hAnsi="Arial"/>
          <w:sz w:val="22"/>
          <w:szCs w:val="22"/>
          <w:color w:val="auto"/>
        </w:rPr>
        <w:t>” means, a Loan Party incorporated or organized under the laws of the Netherlands.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 with respect to any Agreed Currency, the occurrence of:</w:t>
      </w:r>
    </w:p>
    <w:p>
      <w:pPr>
        <w:spacing w:after="0" w:line="193" w:lineRule="exact"/>
        <w:rPr>
          <w:sz w:val="20"/>
          <w:szCs w:val="20"/>
          <w:color w:val="auto"/>
        </w:rPr>
      </w:pPr>
    </w:p>
    <w:p>
      <w:pPr>
        <w:jc w:val="both"/>
        <w:ind w:firstLine="656"/>
        <w:spacing w:after="0" w:line="248" w:lineRule="auto"/>
        <w:tabs>
          <w:tab w:leader="none" w:pos="1194"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(i) a determination by the Administrative Agent or (ii) a notification by the Required Lenders to the Administrative Agent (with a copy to the Company) that the Required Lenders have determined that syndicated credit facilities denominated in the applicable Agreed Currency being executed at such time, or that include language similar to that contained in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are being executed or amended, as applicable, to incorporate or adopt a new benchmark interest rate to replace the Relevant Rate, and</w:t>
      </w:r>
    </w:p>
    <w:p>
      <w:pPr>
        <w:spacing w:after="0" w:line="191" w:lineRule="exact"/>
        <w:rPr>
          <w:rFonts w:ascii="Arial" w:cs="Arial" w:eastAsia="Arial" w:hAnsi="Arial"/>
          <w:sz w:val="22"/>
          <w:szCs w:val="22"/>
          <w:color w:val="auto"/>
        </w:rPr>
      </w:pPr>
    </w:p>
    <w:p>
      <w:pPr>
        <w:jc w:val="both"/>
        <w:ind w:firstLine="656"/>
        <w:spacing w:after="0" w:line="250" w:lineRule="auto"/>
        <w:tabs>
          <w:tab w:leader="none" w:pos="12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 the election by the Administrative Agent or (ii) the election by the Required Lenders to declare that an Early Opt-in Election for such Agreed Currency has occurred and the provision, as applicable, by the Administrative Agent of written notice of such election to the Company and the Lenders or by the Required Lenders of written notice of such election to the Administrative Agent.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the conditions specified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 Refinanced Debt</w:t>
      </w:r>
      <w:r>
        <w:rPr>
          <w:rFonts w:ascii="Arial" w:cs="Arial" w:eastAsia="Arial" w:hAnsi="Arial"/>
          <w:sz w:val="22"/>
          <w:szCs w:val="22"/>
          <w:color w:val="auto"/>
        </w:rPr>
        <w:t>” means:</w:t>
      </w:r>
    </w:p>
    <w:p>
      <w:pPr>
        <w:spacing w:after="0" w:line="220" w:lineRule="exact"/>
        <w:rPr>
          <w:sz w:val="20"/>
          <w:szCs w:val="20"/>
          <w:color w:val="auto"/>
        </w:rPr>
      </w:pPr>
    </w:p>
    <w:p>
      <w:pPr>
        <w:ind w:right="20" w:firstLine="656"/>
        <w:spacing w:after="0" w:line="263" w:lineRule="auto"/>
        <w:tabs>
          <w:tab w:leader="none" w:pos="1175" w:val="left"/>
        </w:tabs>
        <w:numPr>
          <w:ilvl w:val="0"/>
          <w:numId w:val="47"/>
        </w:numPr>
        <w:rPr>
          <w:rFonts w:ascii="Arial" w:cs="Arial" w:eastAsia="Arial" w:hAnsi="Arial"/>
          <w:sz w:val="22"/>
          <w:szCs w:val="22"/>
          <w:color w:val="auto"/>
        </w:rPr>
      </w:pPr>
      <w:r>
        <w:rPr>
          <w:rFonts w:ascii="Arial" w:cs="Arial" w:eastAsia="Arial" w:hAnsi="Arial"/>
          <w:sz w:val="22"/>
          <w:szCs w:val="22"/>
          <w:color w:val="auto"/>
        </w:rPr>
        <w:t>$1,050,000,000 aggregate principal amount equivalent in a combination of U.S. dollars and British pounds of the Company’s and the U.S. Borrower’s commercial paper plus accrued and unpaid interest thereon;</w:t>
      </w:r>
    </w:p>
    <w:p>
      <w:pPr>
        <w:spacing w:after="0" w:line="174" w:lineRule="exact"/>
        <w:rPr>
          <w:rFonts w:ascii="Arial" w:cs="Arial" w:eastAsia="Arial" w:hAnsi="Arial"/>
          <w:sz w:val="22"/>
          <w:szCs w:val="22"/>
          <w:color w:val="auto"/>
        </w:rPr>
      </w:pPr>
    </w:p>
    <w:p>
      <w:pPr>
        <w:ind w:firstLine="656"/>
        <w:spacing w:after="0" w:line="263" w:lineRule="auto"/>
        <w:tabs>
          <w:tab w:leader="none" w:pos="1153" w:val="left"/>
        </w:tabs>
        <w:numPr>
          <w:ilvl w:val="0"/>
          <w:numId w:val="47"/>
        </w:numPr>
        <w:rPr>
          <w:rFonts w:ascii="Arial" w:cs="Arial" w:eastAsia="Arial" w:hAnsi="Arial"/>
          <w:sz w:val="22"/>
          <w:szCs w:val="22"/>
          <w:color w:val="auto"/>
        </w:rPr>
      </w:pPr>
      <w:r>
        <w:rPr>
          <w:rFonts w:ascii="Arial" w:cs="Arial" w:eastAsia="Arial" w:hAnsi="Arial"/>
          <w:sz w:val="22"/>
          <w:szCs w:val="22"/>
          <w:color w:val="auto"/>
        </w:rPr>
        <w:t>all of the Company’s 3.45% Senior Notes due 2022 with ISIN US87854XAD30 listed on the Euro MTF Market of the Luxembourg Stock Exchange plus any applicable premium and accrued and unpaid interest thereon;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41"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$2.5 billion revolving senior unsecured revolving credit facility agreement dated January 17, 2017 (as amended from time to time) by and between the U.S. Borrower, Technip Eurocash SNC and the Company as borrowers, and JPMCB as agent and arranger and SG Americas Securities LLC as arranger; and</w:t>
      </w:r>
    </w:p>
    <w:p>
      <w:pPr>
        <w:spacing w:after="0" w:line="185" w:lineRule="exact"/>
        <w:rPr>
          <w:rFonts w:ascii="Arial" w:cs="Arial" w:eastAsia="Arial" w:hAnsi="Arial"/>
          <w:sz w:val="22"/>
          <w:szCs w:val="22"/>
          <w:color w:val="auto"/>
        </w:rPr>
      </w:pPr>
    </w:p>
    <w:p>
      <w:pPr>
        <w:ind w:firstLine="656"/>
        <w:spacing w:after="0" w:line="263" w:lineRule="auto"/>
        <w:tabs>
          <w:tab w:leader="none" w:pos="113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€500.0 million revolving credit facility dated May 19, 2020 (as amended from time to time) by and between the Company and HSBC France as agent.</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Assignee</w:t>
      </w:r>
      <w:r>
        <w:rPr>
          <w:rFonts w:ascii="Arial" w:cs="Arial" w:eastAsia="Arial" w:hAnsi="Arial"/>
          <w:sz w:val="22"/>
          <w:szCs w:val="22"/>
          <w:color w:val="auto"/>
        </w:rPr>
        <w:t xml:space="preserve">” means (a) a Lender, (b) an Affiliate of a Lender, (c) an Approved Fund and (d) any other Person, other than, in each case, a natural person, a Defaulting Lender, a Borrower, any Subsidiary or any other Affiliate of a Borrower (subject to such consents, if any, as may be required under </w:t>
      </w:r>
      <w:r>
        <w:rPr>
          <w:rFonts w:ascii="Arial" w:cs="Arial" w:eastAsia="Arial" w:hAnsi="Arial"/>
          <w:sz w:val="22"/>
          <w:szCs w:val="22"/>
          <w:u w:val="single" w:color="auto"/>
          <w:color w:val="auto"/>
        </w:rPr>
        <w:t>Section 9.04(b)</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Claim</w:t>
      </w:r>
      <w:r>
        <w:rPr>
          <w:rFonts w:ascii="Arial" w:cs="Arial" w:eastAsia="Arial" w:hAnsi="Arial"/>
          <w:sz w:val="22"/>
          <w:szCs w:val="22"/>
          <w:color w:val="auto"/>
        </w:rPr>
        <w:t>” means any investigation, notice, notice of violation, claim, action, suit, proceeding, demand, abatement order or other order or directive, which is formally alleged or asserted in writing against any Loan Party by any Governmental Authority or any other Person, with respect to (a) any actual or alleged violation of any Environmental Law; (b) any Release of any Hazardous Material or any actual or alleged Hazardous Materials Activity requiring remedial action under Environmental Law; or (c) any actual or alleged damage, injury, threat or harm to health, safety, natural resources or the environment.</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treaty, law (including common law), rule, regulation, code, ordinance, order, decree, judgment, injunction, or binding agreement issued, promulgated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104" w:name="page105"/>
    <w:bookmarkEnd w:id="104"/>
    <w:p>
      <w:pPr>
        <w:jc w:val="both"/>
        <w:spacing w:after="0" w:line="312" w:lineRule="auto"/>
        <w:rPr>
          <w:sz w:val="20"/>
          <w:szCs w:val="20"/>
          <w:color w:val="auto"/>
        </w:rPr>
      </w:pPr>
      <w:r>
        <w:rPr>
          <w:rFonts w:ascii="Arial" w:cs="Arial" w:eastAsia="Arial" w:hAnsi="Arial"/>
          <w:sz w:val="19"/>
          <w:szCs w:val="19"/>
          <w:color w:val="auto"/>
        </w:rPr>
        <w:t>or entered into by or with any Governmental Authority, relating in any way to (a) the protection of the environment, (b) the preservation or reclamation of natural resources, (c) the generation, management, Release or threatened Release of any Hazardous Material or (d) public or worker health and safety matters, to the extent relating to exposure to Hazardous Materials.</w:t>
      </w:r>
    </w:p>
    <w:p>
      <w:pPr>
        <w:spacing w:after="0" w:line="1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Liability</w:t>
      </w:r>
      <w:r>
        <w:rPr>
          <w:rFonts w:ascii="Arial" w:cs="Arial" w:eastAsia="Arial" w:hAnsi="Arial"/>
          <w:sz w:val="22"/>
          <w:szCs w:val="22"/>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required thereunder, (b) the generation, use, handling, transportation, storage, treatment or disposal of any Hazardous Materials, (c) exposure to any Hazardous Materials, (d) the Release or threatened Release of any Hazardous Materials or (e) any legally binding contract or agreement or other legally binding consensual arrangement pursuant to which liability is assumed or imposed with respect to any of the foregoing.</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shares of capital stock, partnership interests, membership interests in a limited liability company, beneficial interests in a trust or other equity ownership interests (whether voting or non-voting) in, or interests in the income or profits of, a Person, and any warrants, options or other rights entitling the holder thereof to purchase or acquire any of the foregoing (other than, prior to the date of such conversion, Indebtedness that is convertible into Equity Interests).</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regulations promulgated and rulings issued thereunder.</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the Borrowers, is treated as a single employer under Section 414(b) or 414(c) of the Code or Section 4001(a)(14) of ERISA or, solely for purposes of Section 302 of ERISA and Section 412 of the Code, is treated as a single employer under Section 414(m) or (o) of the Code.</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303(i)(4) of ERISA or Section 430(i)(4)(A) of the Code), (e) the incurrence by the Borrowers or any of their ERISA Affiliates of any liability under Title IV of ERISA with respect to the termination of any Plan or Multiemployer Plan under Section 4041 or 4041A of ERISA, respectively, (f) the receipt by the Borrowers or any of their ERISA Affiliates from the PBGC or a plan administrator of any notice relating to an intention to terminate any Plan or Multiemployer Plan under Section 4041 or 4041A of ERISA, respectively, or to appoint a trustee to administer any Plan, (g) the incurrence by the Borrowers or any of their ERISA Affiliates of any liability with respect to the withdrawal or partial withdrawal from any Plan or Multiemployer Plan,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105" w:name="page106"/>
    <w:bookmarkEnd w:id="105"/>
    <w:p>
      <w:pPr>
        <w:jc w:val="both"/>
        <w:spacing w:after="0" w:line="263" w:lineRule="auto"/>
        <w:rPr>
          <w:sz w:val="20"/>
          <w:szCs w:val="20"/>
          <w:color w:val="auto"/>
        </w:rPr>
      </w:pPr>
      <w:r>
        <w:rPr>
          <w:rFonts w:ascii="Arial" w:cs="Arial" w:eastAsia="Arial" w:hAnsi="Arial"/>
          <w:sz w:val="21"/>
          <w:szCs w:val="21"/>
          <w:color w:val="auto"/>
        </w:rPr>
        <w:t>the receipt by the Borrowers or any ERISA Affiliate of any notice concerning the imposition of Withdrawal Liability on the Borrowers or any of their ERISA Affiliates or a determination that a Multiemployer Plan to which the Borrowers or any of their ERISA Affiliates makes or is obligated to make contributions, or during the preceding five plan years, has made or been obligated to make contributions, is, or is expected to be, insolvent, within the meaning of Title IV of ERISA, or in endangered or critical status, within the meaning of Section 305 of ERISA or (i) any Foreign Benefit Event.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ESTR</w:t>
      </w:r>
      <w:r>
        <w:rPr>
          <w:rFonts w:ascii="Arial" w:cs="Arial" w:eastAsia="Arial" w:hAnsi="Arial"/>
          <w:sz w:val="22"/>
          <w:szCs w:val="22"/>
          <w:color w:val="auto"/>
        </w:rPr>
        <w:t>” means, with respect to any Business Day, a rate per annum equal to the Euro Short Term Rate for such Business Day published by the ESTR Administrator on the ESTR Administrator’s Website.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ESTR Administrator</w:t>
      </w:r>
      <w:r>
        <w:rPr>
          <w:rFonts w:ascii="Arial" w:cs="Arial" w:eastAsia="Arial" w:hAnsi="Arial"/>
          <w:sz w:val="19"/>
          <w:szCs w:val="19"/>
          <w:color w:val="auto"/>
        </w:rPr>
        <w:t>” means the European Central Bank (or any successor administrator of the Euro Short Term Rate).</w:t>
      </w:r>
    </w:p>
    <w:p>
      <w:pPr>
        <w:spacing w:after="0" w:line="25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ESTR Administrator’s Website</w:t>
      </w:r>
      <w:r>
        <w:rPr>
          <w:rFonts w:ascii="Arial" w:cs="Arial" w:eastAsia="Arial" w:hAnsi="Arial"/>
          <w:sz w:val="19"/>
          <w:szCs w:val="19"/>
          <w:color w:val="auto"/>
        </w:rPr>
        <w:t>” means the European Central Bank’s website, currently at http://www.ecb.europa.eu, or any successor source for the Euro Short Term Rate identified as such by the ESTR Administrator from time to time.</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EURIBOR Interpolated Rate</w:t>
      </w:r>
      <w:r>
        <w:rPr>
          <w:rFonts w:ascii="Arial" w:cs="Arial" w:eastAsia="Arial" w:hAnsi="Arial"/>
          <w:sz w:val="19"/>
          <w:szCs w:val="19"/>
          <w:color w:val="auto"/>
        </w:rPr>
        <w:t>” means, at any time, with respect to any Eurocurrency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w:t>
      </w:r>
    </w:p>
    <w:p>
      <w:pPr>
        <w:spacing w:after="0" w:line="3" w:lineRule="exact"/>
        <w:rPr>
          <w:sz w:val="20"/>
          <w:szCs w:val="20"/>
          <w:color w:val="auto"/>
        </w:rPr>
      </w:pPr>
    </w:p>
    <w:p>
      <w:pPr>
        <w:jc w:val="both"/>
        <w:ind w:right="20" w:firstLine="8"/>
        <w:spacing w:after="0" w:line="262" w:lineRule="auto"/>
        <w:tabs>
          <w:tab w:leader="none" w:pos="313"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the EURIBOR Screen Rate for the shortest period (for which the EURIBOR Screen Rate is available for Euros) that exceeds the Impacted EURIBOR Rate Interest Period, in each case,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EURIBOR Interpolated Rate shall be less than 0.75%, such rate shall be deemed to be 0.75% for the purposes of this Agreement.</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EURIBOR Rate</w:t>
      </w:r>
      <w:r>
        <w:rPr>
          <w:rFonts w:ascii="Arial" w:cs="Arial" w:eastAsia="Arial" w:hAnsi="Arial"/>
          <w:sz w:val="22"/>
          <w:szCs w:val="22"/>
          <w:color w:val="auto"/>
        </w:rPr>
        <w:t xml:space="preserve">” means, with respect to any Eurocurrency Borrowing denominated in Euros and for any Interest Period, the EURIBOR Screen Rate at approximately 11:00 a.m., Brussels time, two TARGET Days prior to the commencement of such Interest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EURIBOR Screen Rate shall not be available at such time for such Interest Period (an “</w:t>
      </w:r>
      <w:r>
        <w:rPr>
          <w:rFonts w:ascii="Arial" w:cs="Arial" w:eastAsia="Arial" w:hAnsi="Arial"/>
          <w:sz w:val="22"/>
          <w:szCs w:val="22"/>
          <w:u w:val="single" w:color="auto"/>
          <w:color w:val="auto"/>
        </w:rPr>
        <w:t>Impacted EURIBOR Rate Interest Period</w:t>
      </w:r>
      <w:r>
        <w:rPr>
          <w:rFonts w:ascii="Arial" w:cs="Arial" w:eastAsia="Arial" w:hAnsi="Arial"/>
          <w:sz w:val="22"/>
          <w:szCs w:val="22"/>
          <w:color w:val="auto"/>
        </w:rPr>
        <w:t>”) with respect to Euros then the EURIBOR Rate shall be the EURIBOR Interpolated Rate.</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EURIBOR Screen Rate</w:t>
      </w:r>
      <w:r>
        <w:rPr>
          <w:rFonts w:ascii="Arial" w:cs="Arial" w:eastAsia="Arial" w:hAnsi="Arial"/>
          <w:sz w:val="21"/>
          <w:szCs w:val="21"/>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106" w:name="page107"/>
    <w:bookmarkEnd w:id="106"/>
    <w:p>
      <w:pPr>
        <w:jc w:val="both"/>
        <w:spacing w:after="0" w:line="248" w:lineRule="auto"/>
        <w:rPr>
          <w:sz w:val="20"/>
          <w:szCs w:val="20"/>
          <w:color w:val="auto"/>
        </w:rPr>
      </w:pPr>
      <w:r>
        <w:rPr>
          <w:rFonts w:ascii="Arial" w:cs="Arial" w:eastAsia="Arial" w:hAnsi="Arial"/>
          <w:sz w:val="22"/>
          <w:szCs w:val="22"/>
          <w:color w:val="auto"/>
        </w:rPr>
        <w:t>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Company. If the EURIBOR Screen Rate shall be less than 0.75%, the EURIBOR Screen Rate shall be deemed to be 0.75% for purposes of this Agreement.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w:t>
      </w:r>
      <w:r>
        <w:rPr>
          <w:rFonts w:ascii="Arial" w:cs="Arial" w:eastAsia="Arial" w:hAnsi="Arial"/>
          <w:sz w:val="22"/>
          <w:szCs w:val="22"/>
          <w:u w:val="single" w:color="auto"/>
          <w:color w:val="auto"/>
        </w:rPr>
        <w:t>EUR</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”means the single currency of the European Union as constituted by the Treaty on European Union and as referred to in the EMU Legislation.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Adjusted LIBO Rate or the Adjusted EURIBOR Rate.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Rate</w:t>
      </w:r>
      <w:r>
        <w:rPr>
          <w:rFonts w:ascii="Arial" w:cs="Arial" w:eastAsia="Arial" w:hAnsi="Arial"/>
          <w:sz w:val="21"/>
          <w:szCs w:val="21"/>
          <w:color w:val="auto"/>
        </w:rPr>
        <w:t xml:space="preserve">” means, on any day, with respect to the applicable Alternative Currency, the rate at which such currency may be exchanged into dollars, as set forth at approximately 11:00 a.m., London time, on such day on the Reuters World Currency Page “FX=” for such currency. In the event that such rate does not appear on any Reuters World Currency Page, then the Exchange Rate shall be determined by reference to such other publicly available service for displaying exchange rates as may be agreed upon by the Administrative Agent and the Company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dollars for delivery two Business Days later;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time of any such determination, for any reason, no such spot rate is being quoted, the Administrative Agent, after consultation with the Company, may use any reasonable method it deems appropriate to determine such rate, and such determination shall be presumed correct absent manifest error.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Equity</w:t>
      </w:r>
      <w:r>
        <w:rPr>
          <w:rFonts w:ascii="Arial" w:cs="Arial" w:eastAsia="Arial" w:hAnsi="Arial"/>
          <w:sz w:val="19"/>
          <w:szCs w:val="19"/>
          <w:color w:val="auto"/>
        </w:rPr>
        <w:t>” has the meaning assigned to such term in the definition of “Collateral and Guarantee Requirement.”</w:t>
      </w:r>
    </w:p>
    <w:p>
      <w:pPr>
        <w:spacing w:after="0" w:line="2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Guarantor</w:t>
      </w:r>
      <w:r>
        <w:rPr>
          <w:rFonts w:ascii="Arial" w:cs="Arial" w:eastAsia="Arial" w:hAnsi="Arial"/>
          <w:sz w:val="19"/>
          <w:szCs w:val="19"/>
          <w:color w:val="auto"/>
        </w:rPr>
        <w:t>” means any Guarantor, all or a portion of whose Guarantee of, or grant of a security interest to secure, any Swap Obligation (or any Guarantee thereof) is or becomes illegal under the Commodity Exchange Act or any rule, regulation or order of the Commodity Futures Trading Commission (or the application or official interpretation of any thereof).</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Obligations</w:t>
      </w:r>
      <w:r>
        <w:rPr>
          <w:rFonts w:ascii="Arial" w:cs="Arial" w:eastAsia="Arial" w:hAnsi="Arial"/>
          <w:sz w:val="19"/>
          <w:szCs w:val="19"/>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107" w:name="page108"/>
    <w:bookmarkEnd w:id="107"/>
    <w:p>
      <w:pPr>
        <w:jc w:val="both"/>
        <w:spacing w:after="0" w:line="312" w:lineRule="auto"/>
        <w:rPr>
          <w:sz w:val="20"/>
          <w:szCs w:val="20"/>
          <w:color w:val="auto"/>
        </w:rPr>
      </w:pPr>
      <w:r>
        <w:rPr>
          <w:rFonts w:ascii="Arial" w:cs="Arial" w:eastAsia="Arial" w:hAnsi="Arial"/>
          <w:sz w:val="19"/>
          <w:szCs w:val="19"/>
          <w:color w:val="auto"/>
        </w:rPr>
        <w:t>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3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such Recipient’s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the Company under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amounts with respect to such Taxes were payable either to such Lender’s assignor immediately before such Lender acquired the applicable interest in such Loan or Commitment or to such Lender immediately before it changed its lending office, (c) in the case of a Lender, UK Withholding Taxes (excluding UK Withholding Taxes on payments made by any Guarantor under any Guarantee of the Obligations) imposed on amounts payable to or for the account of the Lender with respect to an interest in a Loan or Commitment if, on the date on which the payment falls due, the payment could have been made without a deduction or withholding for or on account of UK Withholding Tax if the Lender had been a Qualifying Lender, but on that date the Lender is not, or has ceased to be, a Qualifying Lender other than as a result of any change after the date on which it acquired the applicable interest in the Loan or Commitment in (or in the interpretation, administration, or application of) any law or Treaty or any published practice or published concession of any relevant taxing authority, (d) Taxes attributable to such Recipient’s failure to comply with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(e) any withholding Taxes imposed under FATCA, (f) any Bank Levy (or any payment attributable to a Bank Levy) and (g) VAT, which, for the avoidance of doubt, shall be dealt with under Section 2.17(h).</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means those Letters of Credit described on </w:t>
      </w:r>
      <w:r>
        <w:rPr>
          <w:rFonts w:ascii="Arial" w:cs="Arial" w:eastAsia="Arial" w:hAnsi="Arial"/>
          <w:sz w:val="22"/>
          <w:szCs w:val="22"/>
          <w:u w:val="single" w:color="auto"/>
          <w:color w:val="auto"/>
        </w:rPr>
        <w:t>Schedule 2.05</w:t>
      </w:r>
      <w:r>
        <w:rPr>
          <w:rFonts w:ascii="Arial" w:cs="Arial" w:eastAsia="Arial" w:hAnsi="Arial"/>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Labor Standards Act</w:t>
      </w:r>
      <w:r>
        <w:rPr>
          <w:rFonts w:ascii="Arial" w:cs="Arial" w:eastAsia="Arial" w:hAnsi="Arial"/>
          <w:sz w:val="22"/>
          <w:szCs w:val="22"/>
          <w:color w:val="auto"/>
        </w:rPr>
        <w:t xml:space="preserve">” means the Fair Labor Standards Act, 29 U.S.C. §§ 201 </w:t>
      </w:r>
      <w:r>
        <w:rPr>
          <w:rFonts w:ascii="Arial" w:cs="Arial" w:eastAsia="Arial" w:hAnsi="Arial"/>
          <w:sz w:val="22"/>
          <w:szCs w:val="22"/>
          <w:i w:val="1"/>
          <w:iCs w:val="1"/>
          <w:color w:val="auto"/>
        </w:rPr>
        <w:t>et seq.</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current Section 1471(b)(1) of the Code and any fiscal or regulatory legislation, rules or practices adopted pursuant to any intergovernmental agreement, treaty or convention among Governmental Authorities and implementing such Sections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108" w:name="page109"/>
    <w:bookmarkEnd w:id="108"/>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depositary institutions, as determined in such manner as shall be set forth on NYFRB’s Website from time to time, and published on the next succeeding Business Day by the NYFRB as the effective federal funds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shall be less than zero, such rate shall be deemed to zero for the purposes of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Board</w:t>
      </w:r>
      <w:r>
        <w:rPr>
          <w:rFonts w:ascii="Arial" w:cs="Arial" w:eastAsia="Arial" w:hAnsi="Arial"/>
          <w:sz w:val="19"/>
          <w:szCs w:val="19"/>
          <w:color w:val="auto"/>
        </w:rPr>
        <w:t>” means the Board of Governors of the Federal Reserve System of the United States of America.</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Covenants</w:t>
      </w:r>
      <w:r>
        <w:rPr>
          <w:rFonts w:ascii="Arial" w:cs="Arial" w:eastAsia="Arial" w:hAnsi="Arial"/>
          <w:sz w:val="22"/>
          <w:szCs w:val="22"/>
          <w:color w:val="auto"/>
        </w:rPr>
        <w:t xml:space="preserve">” means the financial covenants contained in </w:t>
      </w:r>
      <w:r>
        <w:rPr>
          <w:rFonts w:ascii="Arial" w:cs="Arial" w:eastAsia="Arial" w:hAnsi="Arial"/>
          <w:sz w:val="22"/>
          <w:szCs w:val="22"/>
          <w:u w:val="single" w:color="auto"/>
          <w:color w:val="auto"/>
        </w:rPr>
        <w:t>Sections 6.12</w:t>
      </w:r>
      <w:r>
        <w:rPr>
          <w:rFonts w:ascii="Arial" w:cs="Arial" w:eastAsia="Arial" w:hAnsi="Arial"/>
          <w:sz w:val="22"/>
          <w:szCs w:val="22"/>
          <w:color w:val="auto"/>
        </w:rPr>
        <w:t xml:space="preserve">, </w:t>
      </w:r>
      <w:r>
        <w:rPr>
          <w:rFonts w:ascii="Arial" w:cs="Arial" w:eastAsia="Arial" w:hAnsi="Arial"/>
          <w:sz w:val="22"/>
          <w:szCs w:val="22"/>
          <w:u w:val="single" w:color="auto"/>
          <w:color w:val="auto"/>
        </w:rPr>
        <w:t>6.13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with respect to any Person, the chief financial officer, principal accounting officer, treasurer, assistant treasurer or controller of such Person, or any other officer or director of such Person performing the duties that are customarily performed by a chief financial officer, principal accounting officer, treasurer, assistant treasurer or controller.</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w:t>
      </w:r>
      <w:r>
        <w:rPr>
          <w:rFonts w:ascii="Arial" w:cs="Arial" w:eastAsia="Arial" w:hAnsi="Arial"/>
          <w:sz w:val="22"/>
          <w:szCs w:val="22"/>
          <w:color w:val="auto"/>
        </w:rPr>
        <w:t>” means that certain First Amendment, dated as of April 29, 2021, by and among the Borrowers, the Administrative Agent and the Lenders party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has the definition given to the term in the First Amendment.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Lien Leverage Ratio</w:t>
      </w:r>
      <w:r>
        <w:rPr>
          <w:rFonts w:ascii="Arial" w:cs="Arial" w:eastAsia="Arial" w:hAnsi="Arial"/>
          <w:sz w:val="21"/>
          <w:szCs w:val="21"/>
          <w:color w:val="auto"/>
        </w:rPr>
        <w:t>” means, as of the last day of any fiscal quarter, the ratio of (a) Consolidated First Lien Net Debt as of such date to (b) Consolidated EBITDA for the four consecutive fiscal quarters ended on such date.</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the LIBO Rate or the EURIBOR Rate, as applicable.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Insurance Laws</w:t>
      </w:r>
      <w:r>
        <w:rPr>
          <w:rFonts w:ascii="Arial" w:cs="Arial" w:eastAsia="Arial" w:hAnsi="Arial"/>
          <w:sz w:val="22"/>
          <w:szCs w:val="22"/>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Benefit Event</w:t>
      </w:r>
      <w:r>
        <w:rPr>
          <w:rFonts w:ascii="Arial" w:cs="Arial" w:eastAsia="Arial" w:hAnsi="Arial"/>
          <w:sz w:val="21"/>
          <w:szCs w:val="21"/>
          <w:color w:val="auto"/>
        </w:rPr>
        <w:t>” means, with respect to any Foreign Pension Plan, (a) the failure to make any material employer contributions under Requirements of Law or by the terms of such Foreign Pension Plan or (b) the receipt of a notice from a Governmental Authority relating to the intention to terminate any such Foreign Pension Plan or to appoint a trustee or similar official to administer any such Foreign Pension Plan, or alleging the insolvency of any such Foreign Pension Plan, in each case, which would reasonably be expected to result in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22"/>
          <w:szCs w:val="22"/>
          <w:color w:val="auto"/>
        </w:rPr>
        <w:t>Restricted Subsidiary becoming subject to a material funding or contribution obligation with respect to such Foreign Pension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Pension Plan</w:t>
      </w:r>
      <w:r>
        <w:rPr>
          <w:rFonts w:ascii="Arial" w:cs="Arial" w:eastAsia="Arial" w:hAnsi="Arial"/>
          <w:sz w:val="22"/>
          <w:szCs w:val="22"/>
          <w:color w:val="auto"/>
        </w:rPr>
        <w:t>” means any defined benefit pension plan established or maintained outside the United States by the Company or any one or more of its Restricted Subsidiaries primarily for the benefit of employees or other service providers of the Company or such Restricted Subsidiaries residing outside the United States, which plan provides, or results in, retirement income, a deferral of income in contemplation of retirement or payments to be made upon termination of employment, and which plan is not subject to ERISA or the Code.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organized or incorporated under the laws of a jurisdiction other than the United States of America, any State thereof or the District of Columbia.</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FSHCO</w:t>
      </w:r>
      <w:r>
        <w:rPr>
          <w:rFonts w:ascii="Arial" w:cs="Arial" w:eastAsia="Arial" w:hAnsi="Arial"/>
          <w:sz w:val="22"/>
          <w:szCs w:val="22"/>
          <w:color w:val="auto"/>
        </w:rPr>
        <w:t>” means any Restricted Subsidiary that has no material assets other than Equity Interests (including any debt instrument treated as Equity Interests for U.S. federal income tax purposes) or Equity Interests and Indebtedness of one or more CFCs.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Intercompany Note</w:t>
      </w:r>
      <w:r>
        <w:rPr>
          <w:rFonts w:ascii="Arial" w:cs="Arial" w:eastAsia="Arial" w:hAnsi="Arial"/>
          <w:sz w:val="22"/>
          <w:szCs w:val="22"/>
          <w:color w:val="auto"/>
        </w:rPr>
        <w:t xml:space="preserve">” means the global intercompany note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pursuant to which (i) intercompany obligations and advances owed by any Loan Party are subordinated to the Obligations and (ii) intercompany obligations owing to any Loan Party are evidenced pursuant to clause (c) of the definition of “Collateral and Guarantee Requirement”.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any other nation or any political subdivision thereof, whether state, local or otherwise, and any agency, authority, instrumentality, regulatory body, court, central bank or other entity exercising executive, legislative, judicial, taxing, regulatory or administrative powers or functions of or pertaining to government (including any supranational bodies exercising such powers or functions, such as the European Union or the European Central Bank).</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w:t>
      </w:r>
    </w:p>
    <w:p>
      <w:pPr>
        <w:spacing w:after="0" w:line="1" w:lineRule="exact"/>
        <w:rPr>
          <w:sz w:val="20"/>
          <w:szCs w:val="20"/>
          <w:color w:val="auto"/>
        </w:rPr>
      </w:pPr>
    </w:p>
    <w:p>
      <w:pPr>
        <w:jc w:val="both"/>
        <w:ind w:firstLine="8"/>
        <w:spacing w:after="0" w:line="244" w:lineRule="auto"/>
        <w:tabs>
          <w:tab w:leader="none" w:pos="31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or (c) as an account party in respect of any letter of credit or letter of guaranty issued to support such Indebtedness or other obligation;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“Guarantee”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110" w:name="page111"/>
    <w:bookmarkEnd w:id="110"/>
    <w:p>
      <w:pPr>
        <w:jc w:val="both"/>
        <w:spacing w:after="0" w:line="294" w:lineRule="auto"/>
        <w:rPr>
          <w:sz w:val="20"/>
          <w:szCs w:val="20"/>
          <w:color w:val="auto"/>
        </w:rPr>
      </w:pPr>
      <w:r>
        <w:rPr>
          <w:rFonts w:ascii="Arial" w:cs="Arial" w:eastAsia="Arial" w:hAnsi="Arial"/>
          <w:sz w:val="19"/>
          <w:szCs w:val="19"/>
          <w:color w:val="auto"/>
        </w:rPr>
        <w:t>include endorsements for collection or deposit in the ordinary course of business. The amount, as of any date of determination, of any Guarantee shall be the principal amount outstanding on such date of the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a Financial Officer of the Company)). The term “Guarantee” used as a verb has a corresponding meaning.</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means each Restricted Subsidiary that is or, after the date hereof, becomes a party to the New York-Law Guarantee.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 Subsidiary</w:t>
      </w:r>
      <w:r>
        <w:rPr>
          <w:rFonts w:ascii="Arial" w:cs="Arial" w:eastAsia="Arial" w:hAnsi="Arial"/>
          <w:sz w:val="22"/>
          <w:szCs w:val="22"/>
          <w:color w:val="auto"/>
        </w:rPr>
        <w:t>” means, subject to the Collateral and Guarantee Principles, each wholly owned direct or indirect Restricted Subsidiary other than (a) with respect to obligations of the U.S. Borrower only, a Restricted Subsidiary that is (i) a CFC or a FSHCO or (ii) a Subsidiary of a CFC or a FSHCO, (b) any Subsidiary the Guarantee by which would result in a material adverse tax consequence as reasonably determined by the Company, or (c) a Restricted Subsidiary that is not a Material Subsidiary.</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chemicals, materials, substances or wastes defined or regulated as hazardous or toxic, or as a pollutant or contaminant, or other term of similar import, under applicable Environmental Law, or for which liability or standards of conduct may be imposed under applicable Environmental Law, including explosive or radioactive substances or wastes, petroleum or petroleum distillates, asbestos or asbestos containing materials, polychlorinated biphenyls, or radon gas.</w:t>
      </w:r>
    </w:p>
    <w:p>
      <w:pPr>
        <w:spacing w:after="0" w:line="14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 Activity</w:t>
      </w:r>
      <w:r>
        <w:rPr>
          <w:rFonts w:ascii="Arial" w:cs="Arial" w:eastAsia="Arial" w:hAnsi="Arial"/>
          <w:sz w:val="21"/>
          <w:szCs w:val="21"/>
          <w:color w:val="auto"/>
        </w:rPr>
        <w:t>” means the use, manufacture, possession, storage, Release, threatened Release, discharge, placement, generation, transportation, processing, construction, treatment, abatement, removal, remediation, disposal, disposition or handling of any Hazardous Material by any Loan Party that is regulated under Environmental Laws, and any corrective action or response action with respect to any of the foregoing.</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Hedging Agreement</w:t>
      </w:r>
      <w:r>
        <w:rPr>
          <w:rFonts w:ascii="Arial" w:cs="Arial" w:eastAsia="Arial" w:hAnsi="Arial"/>
          <w:sz w:val="21"/>
          <w:szCs w:val="21"/>
          <w:color w:val="auto"/>
        </w:rPr>
        <w:t xml:space="preserve">” means any agreement with respect to any swap, forward, future or derivative transaction, or any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 foregoing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the Company or any Subsidiary shall be a Hedging Agreement.</w:t>
      </w:r>
    </w:p>
    <w:p>
      <w:pPr>
        <w:spacing w:after="0" w:line="179" w:lineRule="exact"/>
        <w:rPr>
          <w:sz w:val="20"/>
          <w:szCs w:val="20"/>
          <w:color w:val="auto"/>
        </w:rPr>
      </w:pPr>
    </w:p>
    <w:p>
      <w:pPr>
        <w:ind w:left="660" w:right="80"/>
        <w:spacing w:after="0" w:line="5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 EURIBOR Rate Interest Period</w:t>
      </w:r>
      <w:r>
        <w:rPr>
          <w:rFonts w:ascii="Arial" w:cs="Arial" w:eastAsia="Arial" w:hAnsi="Arial"/>
          <w:sz w:val="19"/>
          <w:szCs w:val="19"/>
          <w:color w:val="auto"/>
        </w:rPr>
        <w:t>” has the meaning assigned to such term in the definition of “EURIBOR Rate.” “</w:t>
      </w:r>
      <w:r>
        <w:rPr>
          <w:rFonts w:ascii="Arial" w:cs="Arial" w:eastAsia="Arial" w:hAnsi="Arial"/>
          <w:sz w:val="19"/>
          <w:szCs w:val="19"/>
          <w:u w:val="single" w:color="auto"/>
          <w:color w:val="auto"/>
        </w:rPr>
        <w:t>Impacted LIBO Rate Interest Period</w:t>
      </w:r>
      <w:r>
        <w:rPr>
          <w:rFonts w:ascii="Arial" w:cs="Arial" w:eastAsia="Arial" w:hAnsi="Arial"/>
          <w:sz w:val="19"/>
          <w:szCs w:val="19"/>
          <w:color w:val="auto"/>
        </w:rPr>
        <w:t>” has the meaning assigned to such term in the definition of “LIBO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111" w:name="page112"/>
    <w:bookmarkEnd w:id="111"/>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trade accounts payable and other accrued or cash management obligations, in each case incurred in the ordinary course of business and (ii) any earnout obligation until such obligation ceases to be contingent); (e) all Indebtedness of others secured by (or for which the holder of such Indebtedness has an existing right, contingent or otherwise, to be secured by) any Lien on property owned or acquired by such Person, whether or not the Indebtedness secured thereby has been assumed by such Person; (f) all Guarantees by such Person of Indebtedness of others;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Guarantees outstanding on the Effective Date by the Company or any Restricted Subsidiary of Specified Joint Venture Indebtedness outstanding on the Effective Date shall not be deemed to be Indebtedness of the Company or such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Company or such Restricted Subsidiary shall be required to consolidate such Specified Joint Venture Indebtedness on its balance sheet then such Guarantee shall be deemed to be Indebtedness of the Company or such Restricted Subsidiary, as the case may be, as of such date; (g) all Capital Lease Obligations of such Person; (h) all obligations, contingent or otherwise, of such Person as an account party in respect of letters of credit and letters of guaranty;</w:t>
      </w:r>
    </w:p>
    <w:p>
      <w:pPr>
        <w:spacing w:after="0" w:line="2" w:lineRule="exact"/>
        <w:rPr>
          <w:sz w:val="20"/>
          <w:szCs w:val="20"/>
          <w:color w:val="auto"/>
        </w:rPr>
      </w:pPr>
    </w:p>
    <w:p>
      <w:pPr>
        <w:jc w:val="both"/>
        <w:ind w:firstLine="8"/>
        <w:spacing w:after="0" w:line="286" w:lineRule="auto"/>
        <w:tabs>
          <w:tab w:leader="none" w:pos="28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all obligations, contingent or otherwise, of such Person in respect of bankers’ acceptances; and (j) all Disqualified Equity Interests in such Person, valued, as of the date of determination, at the greater of (i) the maximum aggregate amount that would be payable upon maturity, redemption, repayment or repurchase thereof (or of Disqualified Equity Interests or Indebtedness into which such Disqualified Equity Interests are convertible or exchangeable) and (ii) the maximum liquidation preference of such Disqualified Equity Interests. Notwithstanding the foregoing, the term “Indebtedness” shall not include post-closing purchase price adjustments or earnouts except to the extent that the amount payable pursuant to such purchase price adjustment or earnout ceases to be contingent. The amount of Indebtedness of any Person for purposes of clause (e) above shall (unless such Indebtedness has been assumed by such Person or such Person has otherwise become liable for the payment thereof) be deemed to be equal to the lesser of (i) the aggregate unpaid amount of such Indebtedness and (ii) the fair market value of the property encumbered thereby as determined by such Person in good faith.</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all Taxes, other than Excluded Taxes, imposed on or with respect to any payment made by or on account of any obligation of any Loan Party under this Agreement or any other Loan Document and (b) to the extent not otherwise described in clause (a) of this definition, all Other Taxes.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9.03(b)</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Index Debt</w:t>
      </w:r>
      <w:r>
        <w:rPr>
          <w:rFonts w:ascii="Arial" w:cs="Arial" w:eastAsia="Arial" w:hAnsi="Arial"/>
          <w:sz w:val="22"/>
          <w:szCs w:val="22"/>
          <w:color w:val="auto"/>
        </w:rPr>
        <w:t>” means senior, unsecured, long-term indebtedness for borrowed money of the Company (including, for the avoidance of doubt, the Senior Unsecured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112" w:name="page113"/>
    <w:bookmarkEnd w:id="112"/>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Coverage Ratio</w:t>
      </w:r>
      <w:r>
        <w:rPr>
          <w:rFonts w:ascii="Arial" w:cs="Arial" w:eastAsia="Arial" w:hAnsi="Arial"/>
          <w:sz w:val="21"/>
          <w:szCs w:val="21"/>
          <w:color w:val="auto"/>
        </w:rPr>
        <w:t>” means, as of the last day of any period of four consecutive fiscal quarters of the Company, the ratio of (a) Consolidated EBITDA for such period to (b) Consolidated Interest Expense for such period.</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Company to convert or continue a Revolving Borrowing in accordance with </w:t>
      </w: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which shall be, in the case of a written Interest Election Request, in a form approved by the Administrative Agent and otherwise consistent with the requirements of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ABR Loan, the last Business Day of each March, June, September and December and (b) with respect to any Eurocurrency Loan, the last Business Day of the Interest Period applicable to the Borrowing of which such Loan is a part and, in the case of a Eurocurrency Borrowing with an Interest Period of more than three months’ duration, each day prior to the last Business Day of such Interest Period that occurs at intervals of three months’ duration after the first day of such Interest Period.</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with respect to any Eurocurrency Borrowing, the period commencing on the date of such Borrowing and ending on the numerically corresponding day in the calendar month that is one, three or six months thereafter (or, with the consent of all relevant Lenders, twelve months thereafter), as the Company may elect;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means the U.S. Investment Company Act of 1940.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8"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113" w:name="page114"/>
    <w:bookmarkEnd w:id="113"/>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means (a) JPMCB, Citibank, N.A., DNB Bank ASA, New York Branch, Société Générale, Sumitomo Mitsui Banking Corporation, Wells Fargo Bank, National Association, and Bank of America, N.A., in each case with respect to such Issuing Bank’s Specified LC Sublimit and (b) each Revolving Lender that shall have become an Issuing Bank hereunder as provided in </w:t>
      </w:r>
      <w:r>
        <w:rPr>
          <w:rFonts w:ascii="Arial" w:cs="Arial" w:eastAsia="Arial" w:hAnsi="Arial"/>
          <w:sz w:val="21"/>
          <w:szCs w:val="21"/>
          <w:u w:val="single" w:color="auto"/>
          <w:color w:val="auto"/>
        </w:rPr>
        <w:t>Section 2.05(j)</w:t>
      </w:r>
      <w:r>
        <w:rPr>
          <w:rFonts w:ascii="Arial" w:cs="Arial" w:eastAsia="Arial" w:hAnsi="Arial"/>
          <w:sz w:val="21"/>
          <w:szCs w:val="21"/>
          <w:color w:val="auto"/>
        </w:rPr>
        <w:t xml:space="preserve"> (other than any Person that shall have ceased to be an Issuing Bank as provided in </w:t>
      </w:r>
      <w:r>
        <w:rPr>
          <w:rFonts w:ascii="Arial" w:cs="Arial" w:eastAsia="Arial" w:hAnsi="Arial"/>
          <w:sz w:val="21"/>
          <w:szCs w:val="21"/>
          <w:u w:val="single" w:color="auto"/>
          <w:color w:val="auto"/>
        </w:rPr>
        <w:t>Section 2.05(k)</w:t>
      </w:r>
      <w:r>
        <w:rPr>
          <w:rFonts w:ascii="Arial" w:cs="Arial" w:eastAsia="Arial" w:hAnsi="Arial"/>
          <w:sz w:val="21"/>
          <w:szCs w:val="21"/>
          <w:color w:val="auto"/>
        </w:rPr>
        <w:t>),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ITA</w:t>
      </w:r>
      <w:r>
        <w:rPr>
          <w:rFonts w:ascii="Arial" w:cs="Arial" w:eastAsia="Arial" w:hAnsi="Arial"/>
          <w:sz w:val="22"/>
          <w:szCs w:val="22"/>
          <w:color w:val="auto"/>
        </w:rPr>
        <w:t>” means the UK Income Tax Act 2007.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JPMCB</w:t>
      </w:r>
      <w:r>
        <w:rPr>
          <w:rFonts w:ascii="Arial" w:cs="Arial" w:eastAsia="Arial" w:hAnsi="Arial"/>
          <w:sz w:val="22"/>
          <w:szCs w:val="22"/>
          <w:color w:val="auto"/>
        </w:rPr>
        <w:t>” means JPMorgan Chase Bank, N.A.</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means, with respect to the Company or a Restricted Subsidiary, the actual knowledge of any Responsible Officer of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 Issuing Bank pursuant to a Letter of Credit.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Exposure</w:t>
      </w:r>
      <w:r>
        <w:rPr>
          <w:rFonts w:ascii="Arial" w:cs="Arial" w:eastAsia="Arial" w:hAnsi="Arial"/>
          <w:sz w:val="21"/>
          <w:szCs w:val="21"/>
          <w:color w:val="auto"/>
        </w:rPr>
        <w:t>” means, at any time, the sum of (a) the Dollar Equivalent of the aggregate undrawn amount of all outstanding Letters of Credit at such time and (b) the Dollar Equivalent of the aggregate amount of all LC Disbursements that have not yet been reimbursed by or on behalf of the Borrowers at such time. The LC Exposure of any Revolving Lender at any time shall be such Lender’s Applicable Percentage of the aggregate LC Exposure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Facility</w:t>
      </w:r>
      <w:r>
        <w:rPr>
          <w:rFonts w:ascii="Arial" w:cs="Arial" w:eastAsia="Arial" w:hAnsi="Arial"/>
          <w:sz w:val="22"/>
          <w:szCs w:val="22"/>
          <w:color w:val="auto"/>
        </w:rPr>
        <w:t>” means a standalone letter of credit or bank guaranty facility.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Lender-Related Person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9.03(c)</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and any other Person that shall have become a party hereto pursuant to an Assignment and Assumption, other than any such Person that shall have ceased to be a party hereto pursuant to an Assignment and Assumption.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xml:space="preserve">” means any letter of credit denominated in dollars or in an Alternative Currency issued pursuant to this Agreement by an Issuing Bank under the Commitments, other than any such letter of credit that shall have ceased to be a “Letter of Credit” outstanding hereunder pursuant to </w:t>
      </w:r>
      <w:r>
        <w:rPr>
          <w:rFonts w:ascii="Arial" w:cs="Arial" w:eastAsia="Arial" w:hAnsi="Arial"/>
          <w:sz w:val="22"/>
          <w:szCs w:val="22"/>
          <w:u w:val="single" w:color="auto"/>
          <w:color w:val="auto"/>
        </w:rPr>
        <w:t>Section 9.05</w:t>
      </w:r>
      <w:r>
        <w:rPr>
          <w:rFonts w:ascii="Arial" w:cs="Arial" w:eastAsia="Arial" w:hAnsi="Arial"/>
          <w:sz w:val="22"/>
          <w:szCs w:val="22"/>
          <w:color w:val="auto"/>
        </w:rPr>
        <w:t>. A Letter of Credit may be issued in dollars or in any Alternative Currency.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Liabilities</w:t>
      </w:r>
      <w:r>
        <w:rPr>
          <w:rFonts w:ascii="Arial" w:cs="Arial" w:eastAsia="Arial" w:hAnsi="Arial"/>
          <w:sz w:val="21"/>
          <w:szCs w:val="21"/>
          <w:color w:val="auto"/>
        </w:rPr>
        <w:t>” means any losses, claims (including intraparty claims), demands, damages or liabilities of any kind.</w:t>
      </w:r>
    </w:p>
    <w:p>
      <w:pPr>
        <w:spacing w:after="0" w:line="23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Interpolated Rate</w:t>
      </w:r>
      <w:r>
        <w:rPr>
          <w:rFonts w:ascii="Arial" w:cs="Arial" w:eastAsia="Arial" w:hAnsi="Arial"/>
          <w:sz w:val="19"/>
          <w:szCs w:val="19"/>
          <w:color w:val="auto"/>
        </w:rPr>
        <w:t>” means, at any time, with respect to any Eurocurrency Borrowing denominated in dollars or Sterling and for any Interest Period, the rate per annum (rounded to the same number of decimal places as the LIBO Screen Rate) determined by the Administrative Agent (which determination shall be conclusive and binding absent manifest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114" w:name="page115"/>
    <w:bookmarkEnd w:id="114"/>
    <w:p>
      <w:pPr>
        <w:jc w:val="both"/>
        <w:spacing w:after="0" w:line="297" w:lineRule="auto"/>
        <w:rPr>
          <w:sz w:val="20"/>
          <w:szCs w:val="20"/>
          <w:color w:val="auto"/>
        </w:rPr>
      </w:pPr>
      <w:r>
        <w:rPr>
          <w:rFonts w:ascii="Arial" w:cs="Arial" w:eastAsia="Arial" w:hAnsi="Arial"/>
          <w:sz w:val="19"/>
          <w:szCs w:val="19"/>
          <w:color w:val="auto"/>
        </w:rPr>
        <w:t xml:space="preserve">error) to be equal to the rate that results from interpolating on a linear basis between: (a) the LIBO Screen Rate for the longest period (for which the LIBO Screen Rate is available for the applicable Agreed Currency) that is shorter than the Impacted LIBO Rate Interest Period; and (b) the LIBO Screen Rate for the shortest period (for which the LIBO Screen Rate is available for the applicable Agreed Currency) that exceeds the Impacted LIBO Rate Interest Period, in each case,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LIBO Interpolated Rate shall be less than 0.75%, such rate shall be deemed to be 0.75% for the purposes of this Agreement.</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xml:space="preserve">” means, with respect to any Eurocurrency Borrowing denominated dollars or Sterling and for any Interest Period, the LIBO Screen Rate at approximately 11:00 a.m., London time, two Business Days prior to the commencement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shall not be available at such time for such Interest Period (an “</w:t>
      </w:r>
      <w:r>
        <w:rPr>
          <w:rFonts w:ascii="Arial" w:cs="Arial" w:eastAsia="Arial" w:hAnsi="Arial"/>
          <w:sz w:val="19"/>
          <w:szCs w:val="19"/>
          <w:u w:val="single" w:color="auto"/>
          <w:color w:val="auto"/>
        </w:rPr>
        <w:t>Impacted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LIBO Rate Interest Period</w:t>
      </w:r>
      <w:r>
        <w:rPr>
          <w:rFonts w:ascii="Arial" w:cs="Arial" w:eastAsia="Arial" w:hAnsi="Arial"/>
          <w:sz w:val="19"/>
          <w:szCs w:val="19"/>
          <w:color w:val="auto"/>
        </w:rPr>
        <w:t>”) with respect to such Agreed Currency, then the LIBO Rate shall be the LIBO Interpolated Rate.</w:t>
      </w:r>
    </w:p>
    <w:p>
      <w:pPr>
        <w:spacing w:after="0" w:line="1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means, for any day and time, with respect to any Eurocurrency Borrowing denominated in dollars or Sterling and for any Interest Period, the London interbank offered rate as administered by ICE Benchmark Administration (or any other Person that takes over the administration of such rate) for such Agreed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shall be less than 0.75%, such rate shall be deemed to 0.75% for the purposes of this Agreement.</w:t>
      </w:r>
    </w:p>
    <w:p>
      <w:pPr>
        <w:spacing w:after="0" w:line="1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charge, security interest or other encumbrance in, on or of such asset or (b) the interest of a vendor or a lessor under any conditional sale agreement, capital lease or title retention agreement (or any financing lease having substantially the same economic effect as any of the foregoing), or interest of a licensor under any license or sublicense agreement, relating to such asset.</w:t>
      </w:r>
    </w:p>
    <w:p>
      <w:pPr>
        <w:spacing w:after="0" w:line="14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 Obligations</w:t>
      </w:r>
      <w:r>
        <w:rPr>
          <w:rFonts w:ascii="Arial" w:cs="Arial" w:eastAsia="Arial" w:hAnsi="Arial"/>
          <w:sz w:val="22"/>
          <w:szCs w:val="22"/>
          <w:color w:val="auto"/>
        </w:rPr>
        <w:t>” means (a) the due and punctual payment by the Borrowers of (i)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Borrowers and the other Loan Parties under this Agreement in respect of any Letter of Credit, when and as due, including payments in respect of reimbursement of disbursements, interest thereon and obligations to provide cash collateral (including interest and other amounts and obligations accruing during the pendency of any bankruptcy, insolvency, receivership or other similar proceeding, regardless of whether allowed or allowable in such proceeding) and (iii) all other monetary obligations of the Borrowers under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115" w:name="page116"/>
    <w:bookmarkEnd w:id="115"/>
    <w:p>
      <w:pPr>
        <w:jc w:val="both"/>
        <w:spacing w:after="0" w:line="260" w:lineRule="auto"/>
        <w:rPr>
          <w:sz w:val="20"/>
          <w:szCs w:val="20"/>
          <w:color w:val="auto"/>
        </w:rPr>
      </w:pPr>
      <w:r>
        <w:rPr>
          <w:rFonts w:ascii="Arial" w:cs="Arial" w:eastAsia="Arial" w:hAnsi="Arial"/>
          <w:sz w:val="21"/>
          <w:szCs w:val="21"/>
          <w:color w:val="auto"/>
        </w:rPr>
        <w:t>each of the other Loan Documents, including obligations to pay fees, expense reimbursement obligations (including with respect to attorneys’ fees)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the obligations of each Guarantor under or pursuant to each of the Loan Documents to which it is a party (including monetary obligations incurred during the pendency of any bankruptcy, insolvency, receivership or other similar proceeding, regardless of whether allowed or allowable in such proceeding).</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xml:space="preserve">” means this Agreement, the New York-Law Guarantee, the Security Documents, any agreement designating an additional Issuing Bank as contemplated by </w:t>
      </w:r>
      <w:r>
        <w:rPr>
          <w:rFonts w:ascii="Arial" w:cs="Arial" w:eastAsia="Arial" w:hAnsi="Arial"/>
          <w:sz w:val="19"/>
          <w:szCs w:val="19"/>
          <w:u w:val="single" w:color="auto"/>
          <w:color w:val="auto"/>
        </w:rPr>
        <w:t>Section 2.05(j)</w:t>
      </w:r>
      <w:r>
        <w:rPr>
          <w:rFonts w:ascii="Arial" w:cs="Arial" w:eastAsia="Arial" w:hAnsi="Arial"/>
          <w:sz w:val="19"/>
          <w:szCs w:val="19"/>
          <w:color w:val="auto"/>
        </w:rPr>
        <w:t xml:space="preserve">, except for purposes of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any Notes delivered pursuant to </w:t>
      </w:r>
      <w:r>
        <w:rPr>
          <w:rFonts w:ascii="Arial" w:cs="Arial" w:eastAsia="Arial" w:hAnsi="Arial"/>
          <w:sz w:val="19"/>
          <w:szCs w:val="19"/>
          <w:u w:val="single" w:color="auto"/>
          <w:color w:val="auto"/>
        </w:rPr>
        <w:t>Section 2.09(c)</w:t>
      </w:r>
      <w:r>
        <w:rPr>
          <w:rFonts w:ascii="Arial" w:cs="Arial" w:eastAsia="Arial" w:hAnsi="Arial"/>
          <w:sz w:val="19"/>
          <w:szCs w:val="19"/>
          <w:color w:val="auto"/>
        </w:rPr>
        <w:t>, any Bilateral Facility Intercreditor Agreement and all other agreements, instruments, documents and certificates now or hereafter executed and delivered by a Loan Party to, or in favor of, the Administrative Agent or Collateral Agent or any Lender in connection with this Agreement to the extent designated as a “Loan Document” therein (and, in each case, any amendment, restatement, waiver, supplement or other modification to any of the foregoing).</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the Borrowers and the Guarantors.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Borrowers pursuant to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Time</w:t>
      </w:r>
      <w:r>
        <w:rPr>
          <w:rFonts w:ascii="Arial" w:cs="Arial" w:eastAsia="Arial" w:hAnsi="Arial"/>
          <w:sz w:val="22"/>
          <w:szCs w:val="22"/>
          <w:color w:val="auto"/>
        </w:rPr>
        <w:t>” means (a) with respect to any Loan or Borrowing denominated in dollars or any Letter of Credit denominated in dollars, New York City time and (b) with respect to any Loan or Borrowing denominated in an Alternative Currency or any Letter of Credit denominated in an Alternative Currency, London time.</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Business Day</w:t>
      </w:r>
      <w:r>
        <w:rPr>
          <w:rFonts w:ascii="Arial" w:cs="Arial" w:eastAsia="Arial" w:hAnsi="Arial"/>
          <w:sz w:val="22"/>
          <w:szCs w:val="22"/>
          <w:color w:val="auto"/>
        </w:rPr>
        <w:t>” means any day on which banks are generally open for dealings in dollar deposits in the London interbank market.</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assets, liabilities, operations or financial condition of the Borrowers and the Restricted Subsidiaries, taken as a whole, (b) the ability of the Loan Parties (taken as a whole) to perform their obligations to the Lenders or the Administrative Agent under this Agreement or any other Loan Document or (c) the rights of, or remedies available to, the Administrative Agent or the Lenders under this Agreement or any other Loan Document.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means Indebtedness (other than the Loans, the Letters of Credit and the Guarantees under the Loan Documents), or obligations in respect of one or more Hedging Agreements, of any one or more of the Borrowers and the Restricted Subsidiaries in an aggregate principal amount exceeding $100,000,000. For purposes of determining Material Indebtedness, the “principal amount” of the obligations of a Borrower or any Restricted Subsidiary in respect of any Hedging Agreement at any time shall be the maximum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116" w:name="page117"/>
    <w:bookmarkEnd w:id="116"/>
    <w:p>
      <w:pPr>
        <w:jc w:val="both"/>
        <w:spacing w:after="0" w:line="263" w:lineRule="auto"/>
        <w:rPr>
          <w:sz w:val="20"/>
          <w:szCs w:val="20"/>
          <w:color w:val="auto"/>
        </w:rPr>
      </w:pPr>
      <w:r>
        <w:rPr>
          <w:rFonts w:ascii="Arial" w:cs="Arial" w:eastAsia="Arial" w:hAnsi="Arial"/>
          <w:sz w:val="22"/>
          <w:szCs w:val="22"/>
          <w:color w:val="auto"/>
        </w:rPr>
        <w:t>amount (giving effect to any netting agreements) that such Borrower or such Restricted Subsidiary would be required to pay if such Hedging Agreement were terminated at such time.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Real Property</w:t>
      </w:r>
      <w:r>
        <w:rPr>
          <w:rFonts w:ascii="Arial" w:cs="Arial" w:eastAsia="Arial" w:hAnsi="Arial"/>
          <w:sz w:val="22"/>
          <w:szCs w:val="22"/>
          <w:color w:val="auto"/>
        </w:rPr>
        <w:t>” means any fee-owned real property in any Collateral Jurisdiction with a book value of at least $5,000,000 as reasonably determined by the Company in good faith.</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Subsidiary</w:t>
      </w:r>
      <w:r>
        <w:rPr>
          <w:rFonts w:ascii="Arial" w:cs="Arial" w:eastAsia="Arial" w:hAnsi="Arial"/>
          <w:sz w:val="21"/>
          <w:szCs w:val="21"/>
          <w:color w:val="auto"/>
        </w:rPr>
        <w:t xml:space="preserve">” means each Restricted Subsidiary (a) the Consolidated Total Assets of which equal 5.0% or more of the Consolidated Total Assets of the Company and the Restricted Subsidiaries or (b) the consolidated revenues of which equal 5.0% or more of the consolidated revenues of the Company and the Restricted Subsidiaries, in each case as of the end of or for the most recent period of four consecutive fiscal quarters for which financial statements have been delivered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5.01(b)</w:t>
      </w:r>
      <w:r>
        <w:rPr>
          <w:rFonts w:ascii="Arial" w:cs="Arial" w:eastAsia="Arial" w:hAnsi="Arial"/>
          <w:sz w:val="21"/>
          <w:szCs w:val="21"/>
          <w:color w:val="auto"/>
        </w:rPr>
        <w:t xml:space="preserve"> (or, prior to the first delivery of any such financial statements, as of the end of or for the period of four consecutive fiscal quarters most recently ended prior to the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end of or for any such most recent period of four consecutive fiscal quarters, the combined Consolidated Total Assets or combined consolidated revenues of all Restricted Subsidiaries that under clauses (a) and (b) above would not constitute Material Subsidiaries shall have exceeded 10.0% of the Consolidated Total Assets of the Company and the Restricted Subsidiaries or 10.0% of the consolidated revenues of the Company and the Restricted Subsidiaries, respectively, then one or more of such excluded Restricted Subsidiaries shall, for all purposes of this Agreement, be designated by the Company to be Material Subsidiaries until such excess shall have been eliminated.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the date that is three years after the Effective 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MNPI</w:t>
      </w:r>
      <w:r>
        <w:rPr>
          <w:rFonts w:ascii="Arial" w:cs="Arial" w:eastAsia="Arial" w:hAnsi="Arial"/>
          <w:sz w:val="22"/>
          <w:szCs w:val="22"/>
          <w:color w:val="auto"/>
        </w:rPr>
        <w:t>” means material information concerning the Company, any Subsidiary or any Affiliate of any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Company, the Subsidiaries or any Affiliate of any of the foregoing or any of their securities that could reasonably be expected to be material for purposes of the United States Federal and State securities laws and, where applicable, foreign securities laws.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to its rating agency business.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w:t>
      </w:r>
      <w:r>
        <w:rPr>
          <w:rFonts w:ascii="Arial" w:cs="Arial" w:eastAsia="Arial" w:hAnsi="Arial"/>
          <w:sz w:val="22"/>
          <w:szCs w:val="22"/>
          <w:color w:val="auto"/>
        </w:rPr>
        <w:t>” means a Real Property Mortgage or a Vessel Mortgage or both, as the context requires.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xml:space="preserve">” means, initially, each Material Real Property owned by a Loan Party and identified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1.01(b)</w:t>
      </w:r>
      <w:r>
        <w:rPr>
          <w:rFonts w:ascii="Arial" w:cs="Arial" w:eastAsia="Arial" w:hAnsi="Arial"/>
          <w:sz w:val="22"/>
          <w:szCs w:val="22"/>
          <w:color w:val="auto"/>
        </w:rPr>
        <w:t xml:space="preserve">, and includes each other Material Real Property owned by a Loan Party with respect to which a Real Property Mortgage is granted pursuant to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5.15</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York-Law Guarantee</w:t>
      </w:r>
      <w:r>
        <w:rPr>
          <w:rFonts w:ascii="Arial" w:cs="Arial" w:eastAsia="Arial" w:hAnsi="Arial"/>
          <w:sz w:val="22"/>
          <w:szCs w:val="22"/>
          <w:color w:val="auto"/>
        </w:rPr>
        <w:t xml:space="preserve">” means the Guarantee among the Borrowers, the Guarantors and the Administrative Agent,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York-Law Pledge Agreement</w:t>
      </w:r>
      <w:r>
        <w:rPr>
          <w:rFonts w:ascii="Arial" w:cs="Arial" w:eastAsia="Arial" w:hAnsi="Arial"/>
          <w:sz w:val="22"/>
          <w:szCs w:val="22"/>
          <w:color w:val="auto"/>
        </w:rPr>
        <w:t xml:space="preserve">” means the Pledge Agreement among the Administrative Agent and the Loan Parties from time to time party thereto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York-Law Security Agreement</w:t>
      </w:r>
      <w:r>
        <w:rPr>
          <w:rFonts w:ascii="Arial" w:cs="Arial" w:eastAsia="Arial" w:hAnsi="Arial"/>
          <w:sz w:val="22"/>
          <w:szCs w:val="22"/>
          <w:color w:val="auto"/>
        </w:rPr>
        <w:t xml:space="preserve">” means the Security Agreement among the Administrative Agent and the U.S. Loan Parties from time to time party thereto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9.02(c)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Revolving Lender</w:t>
      </w:r>
      <w:r>
        <w:rPr>
          <w:rFonts w:ascii="Arial" w:cs="Arial" w:eastAsia="Arial" w:hAnsi="Arial"/>
          <w:sz w:val="22"/>
          <w:szCs w:val="22"/>
          <w:color w:val="auto"/>
        </w:rPr>
        <w:t>” means any Revolving Lender that is not a Defaulting Lender.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2.09(c)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 Rate</w:t>
      </w:r>
      <w:r>
        <w:rPr>
          <w:rFonts w:ascii="Arial" w:cs="Arial" w:eastAsia="Arial" w:hAnsi="Arial"/>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any of the aforesaid rates shall be less than zero, such rate shall be deemed to be zero for purposes of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NYFRB’s Website</w:t>
      </w:r>
      <w:r>
        <w:rPr>
          <w:rFonts w:ascii="Arial" w:cs="Arial" w:eastAsia="Arial" w:hAnsi="Arial"/>
          <w:sz w:val="21"/>
          <w:szCs w:val="21"/>
          <w:color w:val="auto"/>
        </w:rPr>
        <w:t>” means the website of the NYFRB at http://www.newyorkfed.org, or any successor source.</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collectively, (a) all Loan Document Obligations, (b) all Secured Cash Management Obligations, (c) all Secured Hedging Obligations and (d) all Secured Bilateral Facility Obligations.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Agreed Currency</w:t>
      </w:r>
      <w:r>
        <w:rPr>
          <w:rFonts w:ascii="Arial" w:cs="Arial" w:eastAsia="Arial" w:hAnsi="Arial"/>
          <w:sz w:val="22"/>
          <w:szCs w:val="22"/>
          <w:color w:val="auto"/>
        </w:rPr>
        <w:t xml:space="preserve">” means any currency other than an Agreed Currency determined after the Effective Date by mutual agreement of the Company, the Lenders, the Issuing Banks and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such currency is a lawful currency that is readily available, freely transferable and not restricted, able to be converted into dollars and available in the London interbank deposit market.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w:t>
      </w:r>
      <w:r>
        <w:rPr>
          <w:rFonts w:ascii="Arial" w:cs="Arial" w:eastAsia="Arial" w:hAnsi="Arial"/>
          <w:sz w:val="22"/>
          <w:szCs w:val="22"/>
          <w:color w:val="auto"/>
        </w:rPr>
        <w:t>” means, with respect to any Recipient, a Tax imposed as a result of a present or former connection between such Recipient and the jurisdiction imposing such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118" w:name="page119"/>
    <w:bookmarkEnd w:id="118"/>
    <w:p>
      <w:pPr>
        <w:jc w:val="both"/>
        <w:spacing w:after="0" w:line="250" w:lineRule="auto"/>
        <w:rPr>
          <w:sz w:val="20"/>
          <w:szCs w:val="20"/>
          <w:color w:val="auto"/>
        </w:rPr>
      </w:pPr>
      <w:r>
        <w:rPr>
          <w:rFonts w:ascii="Arial" w:cs="Arial" w:eastAsia="Arial" w:hAnsi="Arial"/>
          <w:sz w:val="22"/>
          <w:szCs w:val="22"/>
          <w:color w:val="auto"/>
        </w:rPr>
        <w:t>(other than connections arising from such Recipient having executed, delivered, become a party to, performed its obligations under, received payments under, received or perfected a security interest under, engaged in any other transaction pursuant to or enforced this Agreement or any other Loan Document, or sold or assigned an interest in this Agreement or any other Loan or Loan Document).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w:t>
      </w:r>
      <w:r>
        <w:rPr>
          <w:rFonts w:ascii="Arial" w:cs="Arial" w:eastAsia="Arial" w:hAnsi="Arial"/>
          <w:sz w:val="22"/>
          <w:szCs w:val="22"/>
          <w:u w:val="single" w:color="auto"/>
          <w:color w:val="auto"/>
        </w:rPr>
        <w:t>Section 2.19(b)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9.02(c)</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Eurocurrency borrowings by U.S.-managed banking offices of depository institutions, as such composite rate shall be determined by the NYFRB as set forth on NYFRB’s Website from time to time, and published on the next succeeding Business Day by the NYFRB as an overnight bank funding rate.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8.01(r)(i)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Notice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8.01(r)(ii)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Perfection Certificate</w:t>
      </w:r>
      <w:r>
        <w:rPr>
          <w:rFonts w:ascii="Arial" w:cs="Arial" w:eastAsia="Arial" w:hAnsi="Arial"/>
          <w:sz w:val="19"/>
          <w:szCs w:val="19"/>
          <w:color w:val="auto"/>
        </w:rPr>
        <w:t xml:space="preserve">” means a certificate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any other form approved by the Administrative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Business</w:t>
      </w:r>
      <w:r>
        <w:rPr>
          <w:rFonts w:ascii="Arial" w:cs="Arial" w:eastAsia="Arial" w:hAnsi="Arial"/>
          <w:sz w:val="19"/>
          <w:szCs w:val="19"/>
          <w:color w:val="auto"/>
        </w:rPr>
        <w:t>” means any business, the majority of revenues which are derived from (a) business or activities of the type to be conducted by the Company and the Restricted Subsidiaries as described in Exhibit 99.1 to the Company’s current report on Form 8-K filed with the SEC on January 19, 2021, (b) any business that is a natural outgrowth or reasonable extension, development or expansion of any such business or any business similar, reasonably related, incidental, complimentary or ancillary to any of the foregoing or (c) any business that in the Company’s good faith business judgment constitutes a reasonable diversification of businesses conducted by the Company and its Restricted Subsidiaries.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20" w:lineRule="exact"/>
        <w:rPr>
          <w:sz w:val="20"/>
          <w:szCs w:val="20"/>
          <w:color w:val="auto"/>
        </w:rPr>
      </w:pPr>
    </w:p>
    <w:p>
      <w:pPr>
        <w:jc w:val="both"/>
        <w:ind w:firstLine="656"/>
        <w:spacing w:after="0" w:line="253" w:lineRule="auto"/>
        <w:tabs>
          <w:tab w:leader="none" w:pos="1192" w:val="left"/>
        </w:tabs>
        <w:numPr>
          <w:ilvl w:val="0"/>
          <w:numId w:val="51"/>
        </w:numPr>
        <w:rPr>
          <w:rFonts w:ascii="Arial" w:cs="Arial" w:eastAsia="Arial" w:hAnsi="Arial"/>
          <w:sz w:val="22"/>
          <w:szCs w:val="22"/>
          <w:color w:val="auto"/>
        </w:rPr>
      </w:pPr>
      <w:r>
        <w:rPr>
          <w:rFonts w:ascii="Arial" w:cs="Arial" w:eastAsia="Arial" w:hAnsi="Arial"/>
          <w:sz w:val="22"/>
          <w:szCs w:val="22"/>
          <w:color w:val="auto"/>
        </w:rPr>
        <w:t>Liens imposed by law for Taxes that are not yet delinquent or in default or are being contested in good faith by appropriate proceedings if adequate reserves with respect thereto are maintained on the books of the applicable Person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119" w:name="page120"/>
    <w:bookmarkEnd w:id="119"/>
    <w:p>
      <w:pPr>
        <w:jc w:val="both"/>
        <w:ind w:firstLine="656"/>
        <w:spacing w:after="0" w:line="250" w:lineRule="auto"/>
        <w:tabs>
          <w:tab w:leader="none" w:pos="1133" w:val="left"/>
        </w:tabs>
        <w:numPr>
          <w:ilvl w:val="0"/>
          <w:numId w:val="52"/>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landlords’ and other like Liens imposed by law, arising in the ordinary course of business and securing obligations that are not overdue by more than 30 days or are being contested in good faith by appropriate proceedings if adequate reserves with respect thereto are maintained on the books of the applicable Person in accordance with GAAP;</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63" w:val="left"/>
        </w:tabs>
        <w:numPr>
          <w:ilvl w:val="0"/>
          <w:numId w:val="52"/>
        </w:numPr>
        <w:rPr>
          <w:rFonts w:ascii="Arial" w:cs="Arial" w:eastAsia="Arial" w:hAnsi="Arial"/>
          <w:sz w:val="22"/>
          <w:szCs w:val="22"/>
          <w:color w:val="auto"/>
        </w:rPr>
      </w:pPr>
      <w:r>
        <w:rPr>
          <w:rFonts w:ascii="Arial" w:cs="Arial" w:eastAsia="Arial" w:hAnsi="Arial"/>
          <w:sz w:val="22"/>
          <w:szCs w:val="22"/>
          <w:color w:val="auto"/>
        </w:rPr>
        <w:t>pledges and deposits made (i) in the ordinary course of business in compliance with workers’ compensation, unemployment insurance and other social security laws and (ii) in respect of letters of credit, bank guarantees or similar instruments issued for the account of any Subsidiary of the Borrowers in the ordinary course of business supporting obligations of the type set forth in clause (i) above;</w:t>
      </w:r>
    </w:p>
    <w:p>
      <w:pPr>
        <w:spacing w:after="0" w:line="187" w:lineRule="exact"/>
        <w:rPr>
          <w:rFonts w:ascii="Arial" w:cs="Arial" w:eastAsia="Arial" w:hAnsi="Arial"/>
          <w:sz w:val="22"/>
          <w:szCs w:val="22"/>
          <w:color w:val="auto"/>
        </w:rPr>
      </w:pPr>
    </w:p>
    <w:p>
      <w:pPr>
        <w:jc w:val="both"/>
        <w:ind w:firstLine="656"/>
        <w:spacing w:after="0" w:line="263" w:lineRule="auto"/>
        <w:tabs>
          <w:tab w:leader="none" w:pos="1286" w:val="left"/>
        </w:tabs>
        <w:numPr>
          <w:ilvl w:val="0"/>
          <w:numId w:val="52"/>
        </w:numPr>
        <w:rPr>
          <w:rFonts w:ascii="Arial" w:cs="Arial" w:eastAsia="Arial" w:hAnsi="Arial"/>
          <w:sz w:val="21"/>
          <w:szCs w:val="21"/>
          <w:color w:val="auto"/>
        </w:rPr>
      </w:pPr>
      <w:r>
        <w:rPr>
          <w:rFonts w:ascii="Arial" w:cs="Arial" w:eastAsia="Arial" w:hAnsi="Arial"/>
          <w:sz w:val="21"/>
          <w:szCs w:val="21"/>
          <w:color w:val="auto"/>
        </w:rPr>
        <w:t>pledges and deposits made (i) to secure the performance of bids, trade contracts (other than for payment of Indebtedness), leases (other than Capital Lease Obligations), statutory obligations, surety and appeal bonds, performance bonds and other obligations of a like nature, in each case in the ordinary course of business and (ii) in respect of letters of credit, bank guarantees or similar instruments issued for the account of a Borrower or any Subsidiary of the Borrowers in the ordinary course of business supporting obligations of the type set forth in clause (i) above;</w:t>
      </w:r>
    </w:p>
    <w:p>
      <w:pPr>
        <w:spacing w:after="0" w:line="175" w:lineRule="exact"/>
        <w:rPr>
          <w:rFonts w:ascii="Arial" w:cs="Arial" w:eastAsia="Arial" w:hAnsi="Arial"/>
          <w:sz w:val="21"/>
          <w:szCs w:val="21"/>
          <w:color w:val="auto"/>
        </w:rPr>
      </w:pPr>
    </w:p>
    <w:p>
      <w:pPr>
        <w:ind w:left="1120" w:hanging="464"/>
        <w:spacing w:after="0"/>
        <w:tabs>
          <w:tab w:leader="none" w:pos="11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judgment liens in respect of judgments that do not constitute an Event of Default under clause (k) of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firstLine="656"/>
        <w:spacing w:after="0" w:line="302" w:lineRule="auto"/>
        <w:tabs>
          <w:tab w:leader="none" w:pos="10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easements, zoning restrictions, rights-of-way and similar encumbrances on real property imposed by law or arising in the ordinary course of business that do not secure any monetary obligations and do not materially interfere with the ordinary conduct of business of the Borrowers or any Subsidiary and in the case of any Mortgaged Property within England only where such easements and rights of way are granted to utility providers in a standard form utility substation or gas governor lease;</w:t>
      </w:r>
    </w:p>
    <w:p>
      <w:pPr>
        <w:spacing w:after="0" w:line="142" w:lineRule="exact"/>
        <w:rPr>
          <w:rFonts w:ascii="Arial" w:cs="Arial" w:eastAsia="Arial" w:hAnsi="Arial"/>
          <w:sz w:val="19"/>
          <w:szCs w:val="19"/>
          <w:color w:val="auto"/>
        </w:rPr>
      </w:pPr>
    </w:p>
    <w:p>
      <w:pPr>
        <w:ind w:left="1360" w:hanging="704"/>
        <w:spacing w:after="0"/>
        <w:tabs>
          <w:tab w:leader="none" w:pos="13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Liens arising from Permitted Investments described in clause (d) of the definition of the term “Permitted</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Investments”;</w:t>
      </w:r>
    </w:p>
    <w:p>
      <w:pPr>
        <w:spacing w:after="0" w:line="201" w:lineRule="exact"/>
        <w:rPr>
          <w:rFonts w:ascii="Arial" w:cs="Arial" w:eastAsia="Arial" w:hAnsi="Arial"/>
          <w:sz w:val="21"/>
          <w:szCs w:val="21"/>
          <w:color w:val="auto"/>
        </w:rPr>
      </w:pPr>
    </w:p>
    <w:p>
      <w:pPr>
        <w:jc w:val="both"/>
        <w:ind w:firstLine="656"/>
        <w:spacing w:after="0" w:line="250" w:lineRule="auto"/>
        <w:tabs>
          <w:tab w:leader="none" w:pos="11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banker’s liens, rights of setoff or similar rights and remedies as to deposit accounts or other funds maintained with depository institutions and securities accounts and other financial assets maintained with a securities intermediary;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deposit accounts or funds and securities accounts or other financial assets are not established or deposited for the purpose of providing collateral for any Indebtedness;</w:t>
      </w:r>
    </w:p>
    <w:p>
      <w:pPr>
        <w:spacing w:after="0" w:line="187" w:lineRule="exact"/>
        <w:rPr>
          <w:rFonts w:ascii="Arial" w:cs="Arial" w:eastAsia="Arial" w:hAnsi="Arial"/>
          <w:sz w:val="22"/>
          <w:szCs w:val="22"/>
          <w:color w:val="auto"/>
        </w:rPr>
      </w:pPr>
    </w:p>
    <w:p>
      <w:pPr>
        <w:ind w:firstLine="656"/>
        <w:spacing w:after="0" w:line="263" w:lineRule="auto"/>
        <w:tabs>
          <w:tab w:leader="none" w:pos="1096" w:val="left"/>
        </w:tabs>
        <w:numPr>
          <w:ilvl w:val="0"/>
          <w:numId w:val="52"/>
        </w:numPr>
        <w:rPr>
          <w:rFonts w:ascii="Arial" w:cs="Arial" w:eastAsia="Arial" w:hAnsi="Arial"/>
          <w:sz w:val="22"/>
          <w:szCs w:val="22"/>
          <w:color w:val="auto"/>
        </w:rPr>
      </w:pPr>
      <w:r>
        <w:rPr>
          <w:rFonts w:ascii="Arial" w:cs="Arial" w:eastAsia="Arial" w:hAnsi="Arial"/>
          <w:sz w:val="22"/>
          <w:szCs w:val="22"/>
          <w:color w:val="auto"/>
        </w:rPr>
        <w:t>Liens arising by virtue of Uniform Commercial Code financing statement filings (or similar filings under applicable law) regarding operating leases entered into by the Borrowers and the Restricted Subsidiaries;</w:t>
      </w:r>
    </w:p>
    <w:p>
      <w:pPr>
        <w:spacing w:after="0" w:line="174" w:lineRule="exact"/>
        <w:rPr>
          <w:rFonts w:ascii="Arial" w:cs="Arial" w:eastAsia="Arial" w:hAnsi="Arial"/>
          <w:sz w:val="22"/>
          <w:szCs w:val="22"/>
          <w:color w:val="auto"/>
        </w:rPr>
      </w:pPr>
    </w:p>
    <w:p>
      <w:pPr>
        <w:jc w:val="both"/>
        <w:ind w:right="20" w:firstLine="656"/>
        <w:spacing w:after="0" w:line="253" w:lineRule="auto"/>
        <w:tabs>
          <w:tab w:leader="none" w:pos="1245" w:val="left"/>
        </w:tabs>
        <w:numPr>
          <w:ilvl w:val="0"/>
          <w:numId w:val="52"/>
        </w:numPr>
        <w:rPr>
          <w:rFonts w:ascii="Arial" w:cs="Arial" w:eastAsia="Arial" w:hAnsi="Arial"/>
          <w:sz w:val="22"/>
          <w:szCs w:val="22"/>
          <w:color w:val="auto"/>
        </w:rPr>
      </w:pPr>
      <w:r>
        <w:rPr>
          <w:rFonts w:ascii="Arial" w:cs="Arial" w:eastAsia="Arial" w:hAnsi="Arial"/>
          <w:sz w:val="22"/>
          <w:szCs w:val="22"/>
          <w:color w:val="auto"/>
        </w:rPr>
        <w:t>Liens of a collecting bank arising in the ordinary course of business under Section 4-208 (or the applicable corresponding section) of the Uniform Commercial Code in effect in the relevant jurisdiction covering only the items being collected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120" w:name="page121"/>
    <w:bookmarkEnd w:id="120"/>
    <w:p>
      <w:pPr>
        <w:jc w:val="both"/>
        <w:ind w:firstLine="656"/>
        <w:spacing w:after="0" w:line="250" w:lineRule="auto"/>
        <w:tabs>
          <w:tab w:leader="none" w:pos="1243" w:val="left"/>
        </w:tabs>
        <w:numPr>
          <w:ilvl w:val="0"/>
          <w:numId w:val="53"/>
        </w:numPr>
        <w:rPr>
          <w:rFonts w:ascii="Arial" w:cs="Arial" w:eastAsia="Arial" w:hAnsi="Arial"/>
          <w:sz w:val="22"/>
          <w:szCs w:val="22"/>
          <w:color w:val="auto"/>
        </w:rPr>
      </w:pPr>
      <w:r>
        <w:rPr>
          <w:rFonts w:ascii="Arial" w:cs="Arial" w:eastAsia="Arial" w:hAnsi="Arial"/>
          <w:sz w:val="22"/>
          <w:szCs w:val="22"/>
          <w:color w:val="auto"/>
        </w:rPr>
        <w:t>Liens representing any interest or title of a licensor, lessor or sublicensor or sublessor, or a licensee, lessee or sublicensee or sublessee, in the property or rights subject to any lease, non-exclusive license or sublicense or concession agreement, in each case, in the ordinary course of business and to the extent that they do not materially interfere with the business of the Borrowers or any Restricted Subsidiary;</w:t>
      </w:r>
    </w:p>
    <w:p>
      <w:pPr>
        <w:spacing w:after="0" w:line="187" w:lineRule="exact"/>
        <w:rPr>
          <w:rFonts w:ascii="Arial" w:cs="Arial" w:eastAsia="Arial" w:hAnsi="Arial"/>
          <w:sz w:val="22"/>
          <w:szCs w:val="22"/>
          <w:color w:val="auto"/>
        </w:rPr>
      </w:pPr>
    </w:p>
    <w:p>
      <w:pPr>
        <w:ind w:firstLine="656"/>
        <w:spacing w:after="0" w:line="263" w:lineRule="auto"/>
        <w:tabs>
          <w:tab w:leader="none" w:pos="1108" w:val="left"/>
        </w:tabs>
        <w:numPr>
          <w:ilvl w:val="0"/>
          <w:numId w:val="53"/>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Liens that are contractual rights of set-off;</w:t>
      </w:r>
    </w:p>
    <w:p>
      <w:pPr>
        <w:spacing w:after="0" w:line="219" w:lineRule="exact"/>
        <w:rPr>
          <w:rFonts w:ascii="Arial" w:cs="Arial" w:eastAsia="Arial" w:hAnsi="Arial"/>
          <w:sz w:val="22"/>
          <w:szCs w:val="22"/>
          <w:color w:val="auto"/>
        </w:rPr>
      </w:pPr>
    </w:p>
    <w:p>
      <w:pPr>
        <w:jc w:val="both"/>
        <w:ind w:firstLine="656"/>
        <w:spacing w:after="0" w:line="265" w:lineRule="auto"/>
        <w:tabs>
          <w:tab w:leader="none" w:pos="1116" w:val="left"/>
        </w:tabs>
        <w:numPr>
          <w:ilvl w:val="0"/>
          <w:numId w:val="53"/>
        </w:numPr>
        <w:rPr>
          <w:rFonts w:ascii="Arial" w:cs="Arial" w:eastAsia="Arial" w:hAnsi="Arial"/>
          <w:sz w:val="21"/>
          <w:szCs w:val="21"/>
          <w:color w:val="auto"/>
        </w:rPr>
      </w:pPr>
      <w:r>
        <w:rPr>
          <w:rFonts w:ascii="Arial" w:cs="Arial" w:eastAsia="Arial" w:hAnsi="Arial"/>
          <w:sz w:val="21"/>
          <w:szCs w:val="21"/>
          <w:color w:val="auto"/>
        </w:rPr>
        <w:t>Liens (i) of a collection bank arising under Section 4-210 of the Uniform Commercial Code on items in the course of collection, (ii) attaching to commodity trading accounts or other commodities brokerage accounts incurred in the ordinary course of business and (iii) in favor of a banking institution arising as a matter of law encumbering deposits (including the right of set-off) and which are within the general parameters customary in the banking industry;</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201"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not given in connection with the issuance of Indebtedness, (ii) relating to pooled deposit or sweep accounts of the Borrowers or any Restricted Subsidiary to permit satisfaction of overdraft or similar obligations incurred in the ordinary course of business of the Borrowers and the Restricted Subsidiaries or (iii) relating to purchase orders and other agreements entered into with customers of the Borrowers or any Restricted Subsidiary in the ordinary course of business; and</w:t>
      </w:r>
    </w:p>
    <w:p>
      <w:pPr>
        <w:spacing w:after="0" w:line="146" w:lineRule="exact"/>
        <w:rPr>
          <w:rFonts w:ascii="Arial" w:cs="Arial" w:eastAsia="Arial" w:hAnsi="Arial"/>
          <w:sz w:val="19"/>
          <w:szCs w:val="19"/>
          <w:color w:val="auto"/>
        </w:rPr>
      </w:pPr>
    </w:p>
    <w:p>
      <w:pPr>
        <w:jc w:val="both"/>
        <w:ind w:firstLine="656"/>
        <w:spacing w:after="0" w:line="294" w:lineRule="auto"/>
        <w:tabs>
          <w:tab w:leader="none" w:pos="1123"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relation to the Collateral Vessels, (i) liens for unpaid master’s and crew’s wages in accordance with first class ship ownership and management practice and not being enforced through arrest; (ii) liens for salvage; (iii) liens for master’s disbursements incurred in the ordinary course of trading in accordance with first class ship ownership and management practice and not being enforced through arrest; (iv) any other lien arising by operation of law (including applicable maritime liens) or otherwise in the ordinary course of the operation, repair or maintenance of any Collateral Vessel, not as a result of any default or omission by any Borrower or Restricted Subsidiary and not being enforced through arrest;</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“Permitted Encumbrances” shall not include any Lien securing Indebtedness, other than Liens referred to in clauses (c) and (d) above securing letters of credit, bank guarantees or similar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20" w:lineRule="exact"/>
        <w:rPr>
          <w:sz w:val="20"/>
          <w:szCs w:val="20"/>
          <w:color w:val="auto"/>
        </w:rPr>
      </w:pPr>
    </w:p>
    <w:p>
      <w:pPr>
        <w:jc w:val="both"/>
        <w:ind w:firstLine="656"/>
        <w:spacing w:after="0" w:line="271" w:lineRule="auto"/>
        <w:tabs>
          <w:tab w:leader="none" w:pos="1193" w:val="left"/>
        </w:tabs>
        <w:numPr>
          <w:ilvl w:val="0"/>
          <w:numId w:val="54"/>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67" w:lineRule="exact"/>
        <w:rPr>
          <w:rFonts w:ascii="Arial" w:cs="Arial" w:eastAsia="Arial" w:hAnsi="Arial"/>
          <w:sz w:val="21"/>
          <w:szCs w:val="21"/>
          <w:color w:val="auto"/>
        </w:rPr>
      </w:pPr>
    </w:p>
    <w:p>
      <w:pPr>
        <w:ind w:firstLine="656"/>
        <w:spacing w:after="0" w:line="287" w:lineRule="auto"/>
        <w:tabs>
          <w:tab w:leader="none" w:pos="1219" w:val="left"/>
        </w:tabs>
        <w:numPr>
          <w:ilvl w:val="0"/>
          <w:numId w:val="54"/>
        </w:numPr>
        <w:rPr>
          <w:rFonts w:ascii="Arial" w:cs="Arial" w:eastAsia="Arial" w:hAnsi="Arial"/>
          <w:sz w:val="21"/>
          <w:szCs w:val="21"/>
          <w:color w:val="auto"/>
        </w:rPr>
      </w:pPr>
      <w:r>
        <w:rPr>
          <w:rFonts w:ascii="Arial" w:cs="Arial" w:eastAsia="Arial" w:hAnsi="Arial"/>
          <w:sz w:val="21"/>
          <w:szCs w:val="21"/>
          <w:color w:val="auto"/>
        </w:rPr>
        <w:t>investments in commercial paper and variable and fixed rate notes maturing within 12 months from the date of acquisition thereof and having, at such date of acquisition, a rating of at least A-2 by S&amp;P or P-2 by Moody’s;</w:t>
      </w:r>
    </w:p>
    <w:p>
      <w:pPr>
        <w:spacing w:after="0" w:line="151" w:lineRule="exact"/>
        <w:rPr>
          <w:rFonts w:ascii="Arial" w:cs="Arial" w:eastAsia="Arial" w:hAnsi="Arial"/>
          <w:sz w:val="21"/>
          <w:szCs w:val="21"/>
          <w:color w:val="auto"/>
        </w:rPr>
      </w:pPr>
    </w:p>
    <w:p>
      <w:pPr>
        <w:jc w:val="both"/>
        <w:ind w:firstLine="656"/>
        <w:spacing w:after="0" w:line="302" w:lineRule="auto"/>
        <w:tabs>
          <w:tab w:leader="none" w:pos="12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investments in certificates of deposit, banker’s acceptances and demand or time deposits, in each case maturing within 12 months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42" w:lineRule="exact"/>
        <w:rPr>
          <w:rFonts w:ascii="Arial" w:cs="Arial" w:eastAsia="Arial" w:hAnsi="Arial"/>
          <w:sz w:val="19"/>
          <w:szCs w:val="19"/>
          <w:color w:val="auto"/>
        </w:rPr>
      </w:pPr>
    </w:p>
    <w:p>
      <w:pPr>
        <w:ind w:right="20" w:firstLine="656"/>
        <w:spacing w:after="0" w:line="263" w:lineRule="auto"/>
        <w:tabs>
          <w:tab w:leader="none" w:pos="1123" w:val="left"/>
        </w:tabs>
        <w:numPr>
          <w:ilvl w:val="0"/>
          <w:numId w:val="54"/>
        </w:numPr>
        <w:rPr>
          <w:rFonts w:ascii="Arial" w:cs="Arial" w:eastAsia="Arial" w:hAnsi="Arial"/>
          <w:sz w:val="22"/>
          <w:szCs w:val="22"/>
          <w:color w:val="auto"/>
        </w:rPr>
      </w:pPr>
      <w:r>
        <w:rPr>
          <w:rFonts w:ascii="Arial" w:cs="Arial" w:eastAsia="Arial" w:hAnsi="Arial"/>
          <w:sz w:val="22"/>
          <w:szCs w:val="22"/>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74" w:lineRule="exact"/>
        <w:rPr>
          <w:rFonts w:ascii="Arial" w:cs="Arial" w:eastAsia="Arial" w:hAnsi="Arial"/>
          <w:sz w:val="22"/>
          <w:szCs w:val="22"/>
          <w:color w:val="auto"/>
        </w:rPr>
      </w:pPr>
    </w:p>
    <w:p>
      <w:pPr>
        <w:ind w:firstLine="656"/>
        <w:spacing w:after="0" w:line="263" w:lineRule="auto"/>
        <w:tabs>
          <w:tab w:leader="none" w:pos="1158" w:val="left"/>
        </w:tabs>
        <w:numPr>
          <w:ilvl w:val="0"/>
          <w:numId w:val="54"/>
        </w:numPr>
        <w:rPr>
          <w:rFonts w:ascii="Arial" w:cs="Arial" w:eastAsia="Arial" w:hAnsi="Arial"/>
          <w:sz w:val="22"/>
          <w:szCs w:val="22"/>
          <w:color w:val="auto"/>
        </w:rPr>
      </w:pPr>
      <w:r>
        <w:rPr>
          <w:rFonts w:ascii="Arial" w:cs="Arial" w:eastAsia="Arial" w:hAnsi="Arial"/>
          <w:sz w:val="22"/>
          <w:szCs w:val="22"/>
          <w:color w:val="auto"/>
        </w:rPr>
        <w:t>“money market funds” that (i) comply with the criteria set forth in Rule 2a-7 of the Investment Company Act, (ii) are rated AAA- by S&amp;P and Aaa3 by Moody’s and (iii) have portfolio assets of at least $5,000,000,000; and</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11"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Joint Venture Investment</w:t>
      </w:r>
      <w:r>
        <w:rPr>
          <w:rFonts w:ascii="Arial" w:cs="Arial" w:eastAsia="Arial" w:hAnsi="Arial"/>
          <w:sz w:val="22"/>
          <w:szCs w:val="22"/>
          <w:color w:val="auto"/>
        </w:rPr>
        <w:t>” means, with respect to an Investment by any specified Person, an Investment by such specified Person in any other Person engaged in a Permitted Business (a) in which the Person has significant involvement in the day to day operations and management or veto power over significant management decisions or board or management committee representation and (b) of which at least 20.0% of the outstanding Equity Interests of such other Person is at the time owned directly or indirectly by the specified Person.</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Tax Distribution</w:t>
      </w:r>
      <w:r>
        <w:rPr>
          <w:rFonts w:ascii="Arial" w:cs="Arial" w:eastAsia="Arial" w:hAnsi="Arial"/>
          <w:sz w:val="22"/>
          <w:szCs w:val="22"/>
          <w:color w:val="auto"/>
        </w:rPr>
        <w:t>” means if a Borrower is a member of a group filing a consolidated, combined, unitary or similar return, a distribution to its direct or indirect parent of such group to permit such parent to discharge the tax liability attributable to the income of the Borrower (and any Restricted Subsidiary of the Borrower included in such group and any Unrestricted Subsidiary of the Borrower to the extent such Unrestricted Subsidiary has made a distribution to the Borrower or any Restricted Subsidiary of the Borrower for the purpose of making such a tax distribution) in an amount not to exceed the amount of tax liability that the Borrower (together with such Subsidiaries) would have incurred if it were filing the relevant tax return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122" w:name="page123"/>
    <w:bookmarkEnd w:id="122"/>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as defined in Section 3(2) of ERISA (other than a Multiemployer Plan), that is subject to the provisions of Title IV of ERISA or Section 412 of the Code or Section 302 of ERISA, and in respect of which the Borrowers or any of their ERISA Affiliates is (or, if such plan were terminated, would under Section 4069 of ERISA be deemed to be) an “employer” as defined in Section 3(5) of ERISA.</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xml:space="preserve">” means 29 CFR § 2510.3-101 </w:t>
      </w:r>
      <w:r>
        <w:rPr>
          <w:rFonts w:ascii="Arial" w:cs="Arial" w:eastAsia="Arial" w:hAnsi="Arial"/>
          <w:sz w:val="22"/>
          <w:szCs w:val="22"/>
          <w:i w:val="1"/>
          <w:iCs w:val="1"/>
          <w:color w:val="auto"/>
        </w:rPr>
        <w:t>et seq.</w:t>
      </w:r>
      <w:r>
        <w:rPr>
          <w:rFonts w:ascii="Arial" w:cs="Arial" w:eastAsia="Arial" w:hAnsi="Arial"/>
          <w:sz w:val="22"/>
          <w:szCs w:val="22"/>
          <w:color w:val="auto"/>
        </w:rPr>
        <w:t>, as modified by Section 3(42) of ERISA, as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9.01(d)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the rate of interest last quoted by The Wall Street Journal as the “Prime Rate” in the U.S. or, if The Wall Street Journal ceases to quote such rate, the highest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claim, litigation, investigation, action, suit, arbitration or administrative, judicial or regulatory action or proceeding in any jurisdiction.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means, with respect to the calculation of the Financial Covenants or for purposes of determining the Total Leverage Ratio, Consolidated Interest Expense, the First Lien Leverage Ratio, Consolidated Total Assets or Consolidated EBITDA as of any date, that such calculation shall give pro forma effect to (a) all acquisitions, (b) all designations of Restricted Subsidiaries as Unrestricted Subsidiaries, (c) all designations of Unrestricted Subsidiaries as Restricted Subsidiaries, (d) all issuances, incurrences or assumptions or repayments and prepayments of Indebtedness in connection therewith (with any such Indebtedness being deemed to be amortized over the applicable testing period in accordance with its terms), and (e) all sales, transfers or other dispositions of (i) any Equity Interests in a Restricted Subsidiary or (ii) all or substantially all assets of a Restricted Subsidiary or division or line of business of a Restricted Subsidiary outside the ordinary course of business (and any related prepayments or repayments of Indebtedness), that have occurred during the four consecutive fiscal quarter period of the Company most recently ended on or prior to such date as if they occurred on the first day of such four consecutive fiscal quarter period.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123" w:name="page124"/>
    <w:bookmarkEnd w:id="123"/>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Change</w:t>
      </w:r>
      <w:r>
        <w:rPr>
          <w:rFonts w:ascii="Arial" w:cs="Arial" w:eastAsia="Arial" w:hAnsi="Arial"/>
          <w:sz w:val="22"/>
          <w:szCs w:val="22"/>
          <w:color w:val="auto"/>
        </w:rPr>
        <w:t>” means a proposed amendment, modification, waiver or termination of any provision of this Agreement or any other Loan Document.</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means Equity Interests of the Borrowers other than Disqualified Equity Interests.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Qualifying Lender</w:t>
      </w:r>
      <w:r>
        <w:rPr>
          <w:rFonts w:ascii="Arial" w:cs="Arial" w:eastAsia="Arial" w:hAnsi="Arial"/>
          <w:sz w:val="22"/>
          <w:szCs w:val="22"/>
          <w:color w:val="auto"/>
        </w:rPr>
        <w:t>” shall mean a Lender which is beneficially entitled to interest payable to that Lender in respect of an advance under this Agreement and is:</w:t>
      </w:r>
    </w:p>
    <w:p>
      <w:pPr>
        <w:spacing w:after="0" w:line="175" w:lineRule="exact"/>
        <w:rPr>
          <w:sz w:val="20"/>
          <w:szCs w:val="20"/>
          <w:color w:val="auto"/>
        </w:rPr>
      </w:pPr>
    </w:p>
    <w:p>
      <w:pPr>
        <w:ind w:left="1120" w:hanging="464"/>
        <w:spacing w:after="0"/>
        <w:tabs>
          <w:tab w:leader="none" w:pos="11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Lender:</w:t>
      </w:r>
    </w:p>
    <w:p>
      <w:pPr>
        <w:spacing w:after="0" w:line="219" w:lineRule="exact"/>
        <w:rPr>
          <w:rFonts w:ascii="Arial" w:cs="Arial" w:eastAsia="Arial" w:hAnsi="Arial"/>
          <w:sz w:val="22"/>
          <w:szCs w:val="22"/>
          <w:color w:val="auto"/>
        </w:rPr>
      </w:pPr>
    </w:p>
    <w:p>
      <w:pPr>
        <w:jc w:val="both"/>
        <w:ind w:left="660" w:firstLine="644"/>
        <w:spacing w:after="0" w:line="312" w:lineRule="auto"/>
        <w:tabs>
          <w:tab w:leader="none" w:pos="1857" w:val="left"/>
        </w:tabs>
        <w:numPr>
          <w:ilvl w:val="1"/>
          <w:numId w:val="55"/>
        </w:numPr>
        <w:rPr>
          <w:rFonts w:ascii="Arial" w:cs="Arial" w:eastAsia="Arial" w:hAnsi="Arial"/>
          <w:sz w:val="19"/>
          <w:szCs w:val="19"/>
          <w:color w:val="auto"/>
        </w:rPr>
      </w:pPr>
      <w:r>
        <w:rPr>
          <w:rFonts w:ascii="Arial" w:cs="Arial" w:eastAsia="Arial" w:hAnsi="Arial"/>
          <w:sz w:val="19"/>
          <w:szCs w:val="19"/>
          <w:color w:val="auto"/>
        </w:rPr>
        <w:t>which is a bank (as defined for the purposes of Section 879 of the ITA) making an advance under this Agreement and is within the charge to United Kingdom corporation tax as respects any payments of interest made in respect of that advance or would be within such charge as respects such payments apart from Section 18A of the CTA; or</w:t>
      </w:r>
    </w:p>
    <w:p>
      <w:pPr>
        <w:spacing w:after="0" w:line="133" w:lineRule="exact"/>
        <w:rPr>
          <w:rFonts w:ascii="Arial" w:cs="Arial" w:eastAsia="Arial" w:hAnsi="Arial"/>
          <w:sz w:val="19"/>
          <w:szCs w:val="19"/>
          <w:color w:val="auto"/>
        </w:rPr>
      </w:pPr>
    </w:p>
    <w:p>
      <w:pPr>
        <w:jc w:val="both"/>
        <w:ind w:left="660" w:firstLine="644"/>
        <w:spacing w:after="0" w:line="250" w:lineRule="auto"/>
        <w:tabs>
          <w:tab w:leader="none" w:pos="1792" w:val="left"/>
        </w:tabs>
        <w:numPr>
          <w:ilvl w:val="1"/>
          <w:numId w:val="55"/>
        </w:numPr>
        <w:rPr>
          <w:rFonts w:ascii="Arial" w:cs="Arial" w:eastAsia="Arial" w:hAnsi="Arial"/>
          <w:sz w:val="22"/>
          <w:szCs w:val="22"/>
          <w:color w:val="auto"/>
        </w:rPr>
      </w:pPr>
      <w:r>
        <w:rPr>
          <w:rFonts w:ascii="Arial" w:cs="Arial" w:eastAsia="Arial" w:hAnsi="Arial"/>
          <w:sz w:val="22"/>
          <w:szCs w:val="22"/>
          <w:color w:val="auto"/>
        </w:rPr>
        <w:t>in respect of an advance made under this Agreement by a person that was a bank (as defined for the purposes of Section 879 of the ITA) at the time that that advance was made and within the charge to United Kingdom corporation tax as respects any payments of interest made in respect of that advance or would be within such charge as respects such payments apart from Section 18A of the CTA; or</w:t>
      </w:r>
    </w:p>
    <w:p>
      <w:pPr>
        <w:spacing w:after="0" w:line="187" w:lineRule="exact"/>
        <w:rPr>
          <w:rFonts w:ascii="Arial" w:cs="Arial" w:eastAsia="Arial" w:hAnsi="Arial"/>
          <w:sz w:val="22"/>
          <w:szCs w:val="22"/>
          <w:color w:val="auto"/>
        </w:rPr>
      </w:pPr>
    </w:p>
    <w:p>
      <w:pPr>
        <w:ind w:left="1120" w:hanging="464"/>
        <w:spacing w:after="0"/>
        <w:tabs>
          <w:tab w:leader="none" w:pos="11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UK Non-Bank Lender; 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UK Treaty Lender.</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 Mortgage</w:t>
      </w:r>
      <w:r>
        <w:rPr>
          <w:rFonts w:ascii="Arial" w:cs="Arial" w:eastAsia="Arial" w:hAnsi="Arial"/>
          <w:sz w:val="22"/>
          <w:szCs w:val="22"/>
          <w:color w:val="auto"/>
        </w:rPr>
        <w:t>” means a mortgage, deed of trust, security deed or other security document granting a Lien on any Mortgaged Property to the Collateral Agent for the benefit of the Secured Parties to secure the Obligations, in each case, as amended, supplemented or otherwise modified from time to time. Each Real Property Mortgage shall be reasonably satisfactory in form and substance to the Administrative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 the Administrative Agent, (b) any Lender and (c) any Issuing Bank, as applicable.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Time</w:t>
      </w:r>
      <w:r>
        <w:rPr>
          <w:rFonts w:ascii="Arial" w:cs="Arial" w:eastAsia="Arial" w:hAnsi="Arial"/>
          <w:sz w:val="22"/>
          <w:szCs w:val="22"/>
          <w:color w:val="auto"/>
        </w:rPr>
        <w:t>” with respect to any setting of the then-current Benchmark means (a) if such Benchmark is the LIBO Rate, 11:00 a.m. (London time) on the day that is two London banking days preceding the date of such setting, (b) if such Benchmark is EURIBOR Rate, 11:00 a.m. Brussels time two TARGET Days preceding the date of such setting and (c) if such Benchmark is neither the LIBO Rate nor the EURIBOR Rate, the time determined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124" w:name="page125"/>
    <w:bookmarkEnd w:id="124"/>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means, in respect of any Indebtedness (the “Original Indebtedness”), any Indebtedness that extends, renews or refinances such Original Indebtedness (or any Refinancing Indebtedness in respect thereof); provided that (a) the principal amount (or accreted value, if applicable) of such Refinancing Indebtedness (including undrawn or available committed amounts) shall not exceed the principal amount (or accreted value, if applicable) of such Original Indebtedness (including undrawn or available committed amounts) except by an amount no greater than the amount of accrued and unpaid interest with respect to such Original Indebtedness and any fees, premium and expenses relating to such extension, renewal or refinancing; (b) either (i) the stated final maturity of such Refinancing Indebtedness shall not be earlier than that of such Original Indebtedness or (ii) such Refinancing Indebtedness shall not mature or be required to be repaid, prepaid, redeemed, repurchased or defeased, whether on one or more fixed dates, upon the occurrence of one or more events or at the option of any holder thereof (except, in each case, upon the occurrence of an event of default, asset sale or a change in control or as and to the extent such repayment, prepayment, redemption, repurchase or defeasance would have been required pursuant to the terms of such Original Indebtedness) prior to the date that is 91 days after the Maturity Date; provided that, notwithstanding the foregoing, scheduled amortization payments (however denominated) of such Refinancing Indebtedness shall be permitted so long as the weighted average life to maturity of such Refinancing Indebtedness shall be no shorter than the weighted average life to maturity of such Original Indebtedness remaining as of the date of such extension, renewal or refinancing (or, if shorter, 91 days after the Maturity Date); (c) such Refinancing Indebtedness shall not constitute an obligation (including pursuant to a Guarantee) of the Borrowers or any Subsidiary, in each case that shall not have been (or, in the case of after-acquired Subsidiaries, shall not have been required to become pursuant to the terms of the Original Indebtedness) an obligor in respect of such Original Indebtedness; (d) if such Original Indebtedness shall have been subordinated to the Loan Document Obligations, such Refinancing Indebtedness shall also be subordinated to the Loan Document Obligations on terms not less favorable in any material respect to the Lenders; and (e)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Loan Document Obligations, by any Lien that shall not have been contractually subordinated to at least the same extent.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9.04(b)</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respective directors, officers, employees, agents, trustees, managers, advisors, representatives and controlling persons of such Person.</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release, spill, emission, leaking, dumping, injection, pouring, deposit, disposal, discharge, dispersal, leaching or migration into or through the indoor or outdoor environment (including ambient air, surface water, groundwater, land surface or subsurface strata).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125" w:name="page126"/>
    <w:bookmarkEnd w:id="125"/>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(a) with respect to a Benchmark Replacement in respect of Loans denominated in dollars, the Federal Reserve Board and/or the NYFRB, or a committee officially endorsed or convened by the Federal Reserve Board and/or the NYFRB or, in each case, any successor thereto, (b) with respect to a Benchmark Replacement in respect of Loans denominated in Sterling, the Bank of England, or a committee officially endorsed or convened by the Bank of England or, in each case, any successor thereto, (c) with respect to a Benchmark Replacement in respect of Loans denominated in Euros, the European Central Bank, or a committee officially endorsed or convened by the European Central Bank or, in each case, any successor thereto and (d) with respect to a Benchmark Replacement in respect of Loans denominated in any Other Agreed Currency, (i) the central bank for the currency in which such Benchmark Replacement is denominated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Benchmark Replacement is denominated,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Rate</w:t>
      </w:r>
      <w:r>
        <w:rPr>
          <w:rFonts w:ascii="Arial" w:cs="Arial" w:eastAsia="Arial" w:hAnsi="Arial"/>
          <w:sz w:val="22"/>
          <w:szCs w:val="22"/>
          <w:color w:val="auto"/>
        </w:rPr>
        <w:t>” means (a) with respect to any Eurocurrency Borrowing denominated in dollars or Sterling, the LIBO Rate or (b) with respect to any Eurocurrency Borrowing denominated in Euros, the EURIBOR Rate.</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Screen Rate</w:t>
      </w:r>
      <w:r>
        <w:rPr>
          <w:rFonts w:ascii="Arial" w:cs="Arial" w:eastAsia="Arial" w:hAnsi="Arial"/>
          <w:sz w:val="19"/>
          <w:szCs w:val="19"/>
          <w:color w:val="auto"/>
        </w:rPr>
        <w:t>” means (a) with respect to any Eurocurrency Borrowing denominated in dollars or Sterling, the LIBO Screen Rate or (b) with respect to any Eurocurrency Borrowing denominated in Euros, the EURIBOR Screen Rate.</w:t>
      </w:r>
    </w:p>
    <w:p>
      <w:pPr>
        <w:spacing w:after="0" w:line="10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means, at any time, Lenders having Revolving Exposures and unused Commitments representing more than 50% of the sum of the Total Revolving Exposure and aggregate unused Commitments at such time.</w:t>
      </w:r>
    </w:p>
    <w:p>
      <w:pPr>
        <w:spacing w:after="0" w:line="10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means, with respect to any Person, (a) the charter, articles or certificate of organization or incorporation and bylaws or other organizational or governing documents of such Person and (b) any law (including common law), statute, ordinance, treaty, rule, regulation, official administrative pronouncement, order, decree, writ, injunction, settlement agreement or determination of any arbitrator or court or other Governmental Authority, in each case applicable to or binding upon such Person or any of its property or to which such Person or any of its property is subject.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Reset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1.06(a)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126" w:name="page127"/>
    <w:bookmarkEnd w:id="126"/>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with respect to a particular corporate matter, any executive officer, director or managing director, as applicable, of a Borrower or a Restricted Subsidiary with direct responsibility for such matter.</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by a Borrower or any Restricted Subsidiary with respect to its Equity Interests, or any payment or distribution (whether in cash, securities or other property) by a Borrower or any Restricted Subsidiary, including any sinking fund or similar deposit, on account of the purchase, redemption, retirement, acquisition, cancelation or termination of its Equity Interests.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each Subsidiary other than an Unrestricted Subsidiary.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Reuters</w:t>
      </w:r>
      <w:r>
        <w:rPr>
          <w:rFonts w:ascii="Arial" w:cs="Arial" w:eastAsia="Arial" w:hAnsi="Arial"/>
          <w:sz w:val="22"/>
          <w:szCs w:val="22"/>
          <w:color w:val="auto"/>
        </w:rPr>
        <w:t>” means, as applicable, Thomson Reuters Corp., Refinitiv, or any successor thereto.</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Revaluation Date</w:t>
      </w:r>
      <w:r>
        <w:rPr>
          <w:rFonts w:ascii="Arial" w:cs="Arial" w:eastAsia="Arial" w:hAnsi="Arial"/>
          <w:sz w:val="19"/>
          <w:szCs w:val="19"/>
          <w:color w:val="auto"/>
        </w:rPr>
        <w:t>” shall mean (a) with respect to any Revolving Loan denominated in any Alternative Currency, each of the following: (i) the date of the Borrowing of such Revolving Loan and (ii) each date of a conversion into or continuation of such Revolving Loan pursuant to the terms of this Agreement;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Borrowing</w:t>
      </w:r>
      <w:r>
        <w:rPr>
          <w:rFonts w:ascii="Arial" w:cs="Arial" w:eastAsia="Arial" w:hAnsi="Arial"/>
          <w:sz w:val="22"/>
          <w:szCs w:val="22"/>
          <w:color w:val="auto"/>
        </w:rPr>
        <w:t>” means Revolving Loans of the same Type and currency, made, converted or continued on the same date and as to which a single Interest Period is in effect.</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Exposure</w:t>
      </w:r>
      <w:r>
        <w:rPr>
          <w:rFonts w:ascii="Arial" w:cs="Arial" w:eastAsia="Arial" w:hAnsi="Arial"/>
          <w:sz w:val="19"/>
          <w:szCs w:val="19"/>
          <w:color w:val="auto"/>
        </w:rPr>
        <w:t>” means, with respect to any Lender at any time, the sum of (a) the Dollar Equivalent of the outstanding principal amount of such Lender’s Revolving Loans and (b) such Lender’s LC Exposure, in each case at such time.</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Lender</w:t>
      </w:r>
      <w:r>
        <w:rPr>
          <w:rFonts w:ascii="Arial" w:cs="Arial" w:eastAsia="Arial" w:hAnsi="Arial"/>
          <w:sz w:val="22"/>
          <w:szCs w:val="22"/>
          <w:color w:val="auto"/>
        </w:rPr>
        <w:t>” means a Lender with a Commitment or, if the Commitments have terminated or expired, a Lender with Revolving Exposure.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means a Loan made pursuant to clause (b) of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means S&amp;P Global Ratings, a division of S&amp;P Global Inc., and any successor to its rating agency business.</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which is itself the subject or target of any Sanctions (at the time of this Agreement, the Crimea region of Ukraine, Cuba, Iran, North Korea and Syria).</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means, at any time, (a) any Person listed in any Sanctions-related list of designated Persons maintained by the Office of Foreign Assets Control of the U.S. Department of the Treasury, the U.S. Department of State, or by the United Nations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127" w:name="page128"/>
    <w:bookmarkEnd w:id="127"/>
    <w:p>
      <w:pPr>
        <w:jc w:val="both"/>
        <w:spacing w:after="0" w:line="253" w:lineRule="auto"/>
        <w:rPr>
          <w:sz w:val="20"/>
          <w:szCs w:val="20"/>
          <w:color w:val="auto"/>
        </w:rPr>
      </w:pPr>
      <w:r>
        <w:rPr>
          <w:rFonts w:ascii="Arial" w:cs="Arial" w:eastAsia="Arial" w:hAnsi="Arial"/>
          <w:sz w:val="22"/>
          <w:szCs w:val="22"/>
          <w:color w:val="auto"/>
        </w:rPr>
        <w:t>Council, the European Union, any European Union member state, Her Majesty’s Treasury or any other relevant sanctions authority, (b) any Person operating, organized or resident in a Sanctioned Country or (c) any Person owned or controlled by any such Person or Persons described in the foregoing clauses (a) or (b).</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any other relevant sanctions authority.</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 or any Governmental Authority succeeding to any of its principal functions.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Bilateral Facility</w:t>
      </w:r>
      <w:r>
        <w:rPr>
          <w:rFonts w:ascii="Arial" w:cs="Arial" w:eastAsia="Arial" w:hAnsi="Arial"/>
          <w:sz w:val="22"/>
          <w:szCs w:val="22"/>
          <w:color w:val="auto"/>
        </w:rPr>
        <w:t>” means any Secured LC Facility or Secured Supply Chain Financing.</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Bilateral Facility Obligations</w:t>
      </w:r>
      <w:r>
        <w:rPr>
          <w:rFonts w:ascii="Arial" w:cs="Arial" w:eastAsia="Arial" w:hAnsi="Arial"/>
          <w:sz w:val="22"/>
          <w:szCs w:val="22"/>
          <w:color w:val="auto"/>
        </w:rPr>
        <w:t>” means obligations owing by a Borrower or any Restricted Subsidiary under any Secured Bilateral Facility.</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Cash Management Obligations</w:t>
      </w:r>
      <w:r>
        <w:rPr>
          <w:rFonts w:ascii="Arial" w:cs="Arial" w:eastAsia="Arial" w:hAnsi="Arial"/>
          <w:sz w:val="19"/>
          <w:szCs w:val="19"/>
          <w:color w:val="auto"/>
        </w:rPr>
        <w:t>” means the due and punctual payment of any and all obligations of a Borrower or any Restricted Subsidiary (whether absolute or contingent and however and whenever created, arising, evidenced or acquired (including all renewals, extensions and modifications thereof and substitutions therefor)) arising in respect of Cash Management Services that (a) are owed to the Administrative Agent or an Affiliate thereof, or to any Person that, at the time such obligations were incurred, was the Administrative Agent or an Affiliate thereof, (b) are owed on the Effective Date to a Person that is a Lender or an Affiliate of a Lender as of the Effective Date or (c) are owed to a Person that is a Lender or an Affiliate of a Lender at the time such obligations are incurred (any such Person, a “</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Cash Management Services may at any time be designated in writing by the Company and the applicable Cash Management Bank to the Administrative Agent not to be included as Secured Cash Management Obligations.</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Hedging Obligations</w:t>
      </w:r>
      <w:r>
        <w:rPr>
          <w:rFonts w:ascii="Arial" w:cs="Arial" w:eastAsia="Arial" w:hAnsi="Arial"/>
          <w:sz w:val="19"/>
          <w:szCs w:val="19"/>
          <w:color w:val="auto"/>
        </w:rPr>
        <w:t>” means the due and punctual payment of any and all obligations of a Borrower or any Restricted Subsidiary arising under each Hedging Agreement that (a) is with a counterparty that is the Administrative Agent or an Affiliate thereof, or any Person that, at the time such Hedging Agreement was entered into, was the Administrative Agent or an Affiliate thereof, (b) is in effect on the Effective Date with a counterparty that is a Lender or an Affiliate of a Lender as of the Effective Date or (c) is entered into after the Effective Date with a counterparty that is a Lender or an Affiliate of a Lender at the time such Hedging Agreement is entered into (any such Person, a “</w:t>
      </w:r>
      <w:r>
        <w:rPr>
          <w:rFonts w:ascii="Arial" w:cs="Arial" w:eastAsia="Arial" w:hAnsi="Arial"/>
          <w:sz w:val="19"/>
          <w:szCs w:val="19"/>
          <w:u w:val="single" w:color="auto"/>
          <w:color w:val="auto"/>
        </w:rPr>
        <w:t>Hedge Bank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Hedging Agreement may at any time be designated in writing by the Company and the applicable Hedge Bank to the Administrative Agent not to be included as Secured Hedging Obligations. Notwithstanding the foregoing, in the case of any Excluded Swap Guarantor, “Secured Hedging Obligations” shall not include Excluded Swap Obligations of such Excluded Swap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128" w:name="page129"/>
    <w:bookmarkEnd w:id="128"/>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LC Facility</w:t>
      </w:r>
      <w:r>
        <w:rPr>
          <w:rFonts w:ascii="Arial" w:cs="Arial" w:eastAsia="Arial" w:hAnsi="Arial"/>
          <w:sz w:val="22"/>
          <w:szCs w:val="22"/>
          <w:color w:val="auto"/>
        </w:rPr>
        <w:t xml:space="preserve">” means any LC Facility that is entered into by and between a Borrowers or any Restricted Subsidiary and a Secured LC Provider, including any such LC Facility that is in effect on the Effective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and the applicable Secured LC Provider shall have designated such LC Facility as a Secured LC Facility in writing delivered to the Administrative Agent (other than with respect to any LC Facility where the Administrative Agent or an Affiliate thereof is the Secured LC Provider).</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LC Provider</w:t>
      </w:r>
      <w:r>
        <w:rPr>
          <w:rFonts w:ascii="Arial" w:cs="Arial" w:eastAsia="Arial" w:hAnsi="Arial"/>
          <w:sz w:val="22"/>
          <w:szCs w:val="22"/>
          <w:color w:val="auto"/>
        </w:rPr>
        <w:t xml:space="preserve">” means any bank, financial institution or other Person that is party to an LC Facility with a Borrower or any Restricted Subsidiary that either (a) entered into such LC Facility while such Person was, or before such Person became, a Lender or Affiliate of a Lender, as the case may be, or (b) has executed a Bilateral Facility Intercreditor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Person at any time ceases to be a Lender or an Affiliate of a Lender, as the case may be, (other than as a result of a payment in full of the Loan Document Obligations) such Person shall remain a Secured LC Provider for three-hundred sixty-five (365) days after such time (and after three-hundred sixty-five (365) days after such time, such Person shall no longer be a Secured LC Provider).</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collectively, (a) the Lenders, (b) the Administrative Agent, (c) the Collateral Agent, (d) each Issuing Bank, (e) each provider of Cash Management Services the obligations under which constitute Secured Cash Management Obligations, (f) each counterparty to any Hedging Agreement the obligations under which constitute Secured Hedging Obligations, (g) each Secured Supply Chain Bank, (h) each Secured LC Provider and (i) the successors and assigns of each of the foregoing.</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Supply Chain Bank</w:t>
      </w:r>
      <w:r>
        <w:rPr>
          <w:rFonts w:ascii="Arial" w:cs="Arial" w:eastAsia="Arial" w:hAnsi="Arial"/>
          <w:sz w:val="19"/>
          <w:szCs w:val="19"/>
          <w:color w:val="auto"/>
        </w:rPr>
        <w:t>” means (a) any bank, financial institution or other Person that is a party to a Supply Chain Financing with a Borrower or any Restricted Subsidiary that (i) entered into such Supply Chain Financing while such Person was, or before such Person became, a Lender or Affiliate of a Lender, as the case may be, or (ii) has executed a Bilateral Facility Intercreditor Agreement and (b) any Supply Chain Bank Purchaser that executes a Bilateral Facility Intercreditor Agreement.</w:t>
      </w:r>
    </w:p>
    <w:p>
      <w:pPr>
        <w:spacing w:after="0" w:line="14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Supply Chain Financing</w:t>
      </w:r>
      <w:r>
        <w:rPr>
          <w:rFonts w:ascii="Arial" w:cs="Arial" w:eastAsia="Arial" w:hAnsi="Arial"/>
          <w:sz w:val="19"/>
          <w:szCs w:val="19"/>
          <w:color w:val="auto"/>
        </w:rPr>
        <w:t xml:space="preserve">” means any Supply Chain Financing that is entered into by and between a Borrower or any Restricted Subsidiary and a Secured Supply Chain Bank, including any such Supply Chain Financing that is in effect on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Company and the applicable Secured Supply Chain Bank shall have designated such Supply Chain Financing as a Secured Supply Chain Financing in writing delivered to the Administrative Agent in substantially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(other than with respect to any Supply Chain Financings where the Administrative Agent or an Affiliate thereof is the Secured Supply Chain Bank) and (b) the trade payables under any Secured Supply Chain Financing shall become payable within 120 days (or 180 days for trade payables in an aggregate amount not to exceed $20,000,000) from issuance thereof.</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United States Securities Act of 1933.</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means, collectively, the New York-Law Security Agreement, New York-Law Pledge Agreement, the Real Property Mortgages, the Vessel Mortgages,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129" w:name="page130"/>
    <w:bookmarkEnd w:id="129"/>
    <w:p>
      <w:pPr>
        <w:jc w:val="both"/>
        <w:spacing w:after="0" w:line="343" w:lineRule="auto"/>
        <w:rPr>
          <w:sz w:val="20"/>
          <w:szCs w:val="20"/>
          <w:color w:val="auto"/>
        </w:rPr>
      </w:pPr>
      <w:r>
        <w:rPr>
          <w:rFonts w:ascii="Arial" w:cs="Arial" w:eastAsia="Arial" w:hAnsi="Arial"/>
          <w:sz w:val="19"/>
          <w:szCs w:val="19"/>
          <w:color w:val="auto"/>
        </w:rPr>
        <w:t xml:space="preserve">other security agreement, pledge agreement or other instrument or document executed and delivered pursuant to any of the foregoing, the Collateral and Guarantee Requirement or pursuant to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5.15</w:t>
      </w:r>
      <w:r>
        <w:rPr>
          <w:rFonts w:ascii="Arial" w:cs="Arial" w:eastAsia="Arial" w:hAnsi="Arial"/>
          <w:sz w:val="19"/>
          <w:szCs w:val="19"/>
          <w:color w:val="auto"/>
        </w:rPr>
        <w:t xml:space="preserve"> to secure any of the Obligations.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Unsecured Notes</w:t>
      </w:r>
      <w:r>
        <w:rPr>
          <w:rFonts w:ascii="Arial" w:cs="Arial" w:eastAsia="Arial" w:hAnsi="Arial"/>
          <w:sz w:val="19"/>
          <w:szCs w:val="19"/>
          <w:color w:val="auto"/>
        </w:rPr>
        <w:t>” means the 6.500% senior notes due 2026 issued by the Company on January 29, 2021.</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Unsecured Notes Documents</w:t>
      </w:r>
      <w:r>
        <w:rPr>
          <w:rFonts w:ascii="Arial" w:cs="Arial" w:eastAsia="Arial" w:hAnsi="Arial"/>
          <w:sz w:val="22"/>
          <w:szCs w:val="22"/>
          <w:color w:val="auto"/>
        </w:rPr>
        <w:t>” means the Senior Unsecured Notes Indenture, all instruments, agreements and other documents evidencing or governing the Senior Unsecured Notes, providing for any Guarantee or other right in respect thereof, and all schedules, exhibits and annexes to each of the foregoing.</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Unsecured Notes Indenture</w:t>
      </w:r>
      <w:r>
        <w:rPr>
          <w:rFonts w:ascii="Arial" w:cs="Arial" w:eastAsia="Arial" w:hAnsi="Arial"/>
          <w:sz w:val="21"/>
          <w:szCs w:val="21"/>
          <w:color w:val="auto"/>
        </w:rPr>
        <w:t>” means the Indenture, dated as of January 29, 2021, among the Company, the Subsidiaries listed therein and U.S. Bank National Association, as trustee, in respect of the Senior Unsecured Notes.</w:t>
      </w:r>
    </w:p>
    <w:p>
      <w:pPr>
        <w:spacing w:after="0" w:line="15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Purchase Agreement</w:t>
      </w:r>
      <w:r>
        <w:rPr>
          <w:rFonts w:ascii="Arial" w:cs="Arial" w:eastAsia="Arial" w:hAnsi="Arial"/>
          <w:sz w:val="22"/>
          <w:szCs w:val="22"/>
          <w:color w:val="auto"/>
        </w:rPr>
        <w:t>” means the Share Purchase Agreement, dated January 7, 2021, with Bpifrance Participations SA (“</w:t>
      </w:r>
      <w:r>
        <w:rPr>
          <w:rFonts w:ascii="Arial" w:cs="Arial" w:eastAsia="Arial" w:hAnsi="Arial"/>
          <w:sz w:val="22"/>
          <w:szCs w:val="22"/>
          <w:u w:val="single" w:color="auto"/>
          <w:color w:val="auto"/>
        </w:rPr>
        <w:t>BPI</w:t>
      </w:r>
      <w:r>
        <w:rPr>
          <w:rFonts w:ascii="Arial" w:cs="Arial" w:eastAsia="Arial" w:hAnsi="Arial"/>
          <w:sz w:val="22"/>
          <w:szCs w:val="22"/>
          <w:color w:val="auto"/>
        </w:rPr>
        <w:t>”), pursuant to which BPI will purchase from the Company a number of Technip Energies shares representing up to 17.25% of the total number of Technip Energies shares outstanding immediately following the Distribution for a purchase price of $200.0 million.</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 with respect to any Business Day, a rate per annum equal to the secured overnight financing rate for such Business Day published by the SOFR Administrator on the SOFR Administrator’s Website.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w:t>
      </w:r>
      <w:r>
        <w:rPr>
          <w:rFonts w:ascii="Arial" w:cs="Arial" w:eastAsia="Arial" w:hAnsi="Arial"/>
          <w:sz w:val="21"/>
          <w:szCs w:val="21"/>
          <w:color w:val="auto"/>
        </w:rPr>
        <w:t>” means the NYFRB (or a successor administrator of the secured overnight financing rate).</w:t>
      </w:r>
    </w:p>
    <w:p>
      <w:pPr>
        <w:spacing w:after="0" w:line="231"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104" w:lineRule="exact"/>
        <w:rPr>
          <w:sz w:val="20"/>
          <w:szCs w:val="20"/>
          <w:color w:val="auto"/>
        </w:rPr>
      </w:pPr>
    </w:p>
    <w:p>
      <w:pPr>
        <w:ind w:right="26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SONIA</w:t>
      </w:r>
      <w:r>
        <w:rPr>
          <w:rFonts w:ascii="Arial" w:cs="Arial" w:eastAsia="Arial" w:hAnsi="Arial"/>
          <w:sz w:val="21"/>
          <w:szCs w:val="21"/>
          <w:color w:val="auto"/>
        </w:rPr>
        <w:t>” means, with respect to any Business Day, a rate per annum equal to the Sterling Overnight Index Average for such Business Day published by the SONIA Administrator on the SONIA Administrator’s Website.</w:t>
      </w:r>
    </w:p>
    <w:p>
      <w:pPr>
        <w:spacing w:after="0" w:line="151"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w:t>
      </w:r>
      <w:r>
        <w:rPr>
          <w:rFonts w:ascii="Arial" w:cs="Arial" w:eastAsia="Arial" w:hAnsi="Arial"/>
          <w:sz w:val="22"/>
          <w:szCs w:val="22"/>
          <w:color w:val="auto"/>
        </w:rPr>
        <w:t>” means the Bank of England (or any successor administrator of the Sterling Overnight Index Average).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Asset Sale</w:t>
      </w:r>
      <w:r>
        <w:rPr>
          <w:rFonts w:ascii="Arial" w:cs="Arial" w:eastAsia="Arial" w:hAnsi="Arial"/>
          <w:sz w:val="19"/>
          <w:szCs w:val="19"/>
          <w:color w:val="auto"/>
        </w:rPr>
        <w:t xml:space="preserve">” means the sale previously disclosed to the Administrative Agent and permitted under </w:t>
      </w:r>
      <w:r>
        <w:rPr>
          <w:rFonts w:ascii="Arial" w:cs="Arial" w:eastAsia="Arial" w:hAnsi="Arial"/>
          <w:sz w:val="19"/>
          <w:szCs w:val="19"/>
          <w:u w:val="single" w:color="auto"/>
          <w:color w:val="auto"/>
        </w:rPr>
        <w:t>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6.05(l)</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Joint Venture</w:t>
      </w:r>
      <w:r>
        <w:rPr>
          <w:rFonts w:ascii="Arial" w:cs="Arial" w:eastAsia="Arial" w:hAnsi="Arial"/>
          <w:sz w:val="22"/>
          <w:szCs w:val="22"/>
          <w:color w:val="auto"/>
        </w:rPr>
        <w:t>” means each of (a) Dofcon Navegação and (b) Techdof Brasil.</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Joint Venture Indebtedness</w:t>
      </w:r>
      <w:r>
        <w:rPr>
          <w:rFonts w:ascii="Arial" w:cs="Arial" w:eastAsia="Arial" w:hAnsi="Arial"/>
          <w:sz w:val="19"/>
          <w:szCs w:val="19"/>
          <w:color w:val="auto"/>
        </w:rPr>
        <w:t>” means the Indebtedness of each of the Specified Joint Ventures outstanding on the Effective Date, related to loans provided by Banco Nacional de Desenvolvimento Econômico e Social (BNDES), in respect of the Vessels Skandi Vitoria, Skandi Niteroi and Skandi Olinda, Eksportkreddit Norge AS, in respect of the Vessel Skandi Recife, Société Générale, in respect of the Vessel Skandi A</w:t>
      </w:r>
      <w:r>
        <w:rPr>
          <w:rFonts w:ascii="Arial" w:cs="Arial" w:eastAsia="Arial" w:hAnsi="Arial"/>
          <w:sz w:val="19"/>
          <w:szCs w:val="19"/>
          <w:color w:val="1F497D"/>
        </w:rPr>
        <w:t>ç</w:t>
      </w:r>
      <w:r>
        <w:rPr>
          <w:rFonts w:ascii="Arial" w:cs="Arial" w:eastAsia="Arial" w:hAnsi="Arial"/>
          <w:sz w:val="19"/>
          <w:szCs w:val="19"/>
          <w:color w:val="auto"/>
        </w:rPr>
        <w:t>u, and DNB Bank ASA, in respect of the Vessel Skandi Buzios.</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LC Sublimit</w:t>
      </w:r>
      <w:r>
        <w:rPr>
          <w:rFonts w:ascii="Arial" w:cs="Arial" w:eastAsia="Arial" w:hAnsi="Arial"/>
          <w:sz w:val="22"/>
          <w:szCs w:val="22"/>
          <w:color w:val="auto"/>
        </w:rPr>
        <w:t>” means, (a) with respect to JPMCB, $64,285,715, (b) with respect to Citibank, N.A., $64,285,715, (c) with respect to DNB Bank ASA, New York Branch, $64,285,715, (d) with respect to Société Générale, $64,285,715, (e) with respect to Sumitomo Mitsui Banking Corporation, $64,285,715, (f) with respect to Wells Fargo Bank, National Association, $64,285,715, and (g) Bank of America, N.A., $64,285,715, in each case, or such greater amount as agreed to by such Issuing Bank in its sole discretion.</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Representations</w:t>
      </w:r>
      <w:r>
        <w:rPr>
          <w:rFonts w:ascii="Arial" w:cs="Arial" w:eastAsia="Arial" w:hAnsi="Arial"/>
          <w:sz w:val="19"/>
          <w:szCs w:val="19"/>
          <w:color w:val="auto"/>
        </w:rPr>
        <w:t xml:space="preserve">” means those representations and warranties of the Borrowers and the Guarantors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3.02</w:t>
      </w:r>
      <w:r>
        <w:rPr>
          <w:rFonts w:ascii="Arial" w:cs="Arial" w:eastAsia="Arial" w:hAnsi="Arial"/>
          <w:sz w:val="19"/>
          <w:szCs w:val="19"/>
          <w:color w:val="auto"/>
        </w:rPr>
        <w:t xml:space="preserve"> (as it relates to entering into and performance of the Loan Documents and/or the enforceability of the Loan Documents against the Borrowers and the Guarantors),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(as it relates to no conflicts of the Loan Documents with the organizational documents of the Loan Parties), </w:t>
      </w:r>
      <w:r>
        <w:rPr>
          <w:rFonts w:ascii="Arial" w:cs="Arial" w:eastAsia="Arial" w:hAnsi="Arial"/>
          <w:sz w:val="19"/>
          <w:szCs w:val="19"/>
          <w:u w:val="single" w:color="auto"/>
          <w:color w:val="auto"/>
        </w:rPr>
        <w:t>3.09</w:t>
      </w:r>
      <w:r>
        <w:rPr>
          <w:rFonts w:ascii="Arial" w:cs="Arial" w:eastAsia="Arial" w:hAnsi="Arial"/>
          <w:sz w:val="19"/>
          <w:szCs w:val="19"/>
          <w:color w:val="auto"/>
        </w:rPr>
        <w:t xml:space="preserve">, </w:t>
      </w:r>
      <w:r>
        <w:rPr>
          <w:rFonts w:ascii="Arial" w:cs="Arial" w:eastAsia="Arial" w:hAnsi="Arial"/>
          <w:sz w:val="19"/>
          <w:szCs w:val="19"/>
          <w:u w:val="single" w:color="auto"/>
          <w:color w:val="auto"/>
        </w:rPr>
        <w:t>3.15</w:t>
      </w:r>
      <w:r>
        <w:rPr>
          <w:rFonts w:ascii="Arial" w:cs="Arial" w:eastAsia="Arial" w:hAnsi="Arial"/>
          <w:sz w:val="19"/>
          <w:szCs w:val="19"/>
          <w:color w:val="auto"/>
        </w:rPr>
        <w:t xml:space="preserve">, </w:t>
      </w:r>
      <w:r>
        <w:rPr>
          <w:rFonts w:ascii="Arial" w:cs="Arial" w:eastAsia="Arial" w:hAnsi="Arial"/>
          <w:sz w:val="19"/>
          <w:szCs w:val="19"/>
          <w:u w:val="single" w:color="auto"/>
          <w:color w:val="auto"/>
        </w:rPr>
        <w:t>3.17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3.18</w:t>
      </w:r>
      <w:r>
        <w:rPr>
          <w:rFonts w:ascii="Arial" w:cs="Arial" w:eastAsia="Arial" w:hAnsi="Arial"/>
          <w:sz w:val="19"/>
          <w:szCs w:val="19"/>
          <w:color w:val="auto"/>
        </w:rPr>
        <w:t xml:space="preserve"> (subject to the Collateral and Guarantee Principles).</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Spinoff</w:t>
      </w:r>
      <w:r>
        <w:rPr>
          <w:rFonts w:ascii="Arial" w:cs="Arial" w:eastAsia="Arial" w:hAnsi="Arial"/>
          <w:sz w:val="22"/>
          <w:szCs w:val="22"/>
          <w:color w:val="auto"/>
        </w:rPr>
        <w:t>” means the planned separation of the Company’s Technip Energies business segment, which is structured as a partial spinoff of Technip Energies, including the Company’s Genesis, Loading System and Cybernetix businesses as of the Issue Date, through the distribution (the “</w:t>
      </w:r>
      <w:r>
        <w:rPr>
          <w:rFonts w:ascii="Arial" w:cs="Arial" w:eastAsia="Arial" w:hAnsi="Arial"/>
          <w:sz w:val="22"/>
          <w:szCs w:val="22"/>
          <w:u w:val="single" w:color="auto"/>
          <w:color w:val="auto"/>
        </w:rPr>
        <w:t>Distribution</w:t>
      </w:r>
      <w:r>
        <w:rPr>
          <w:rFonts w:ascii="Arial" w:cs="Arial" w:eastAsia="Arial" w:hAnsi="Arial"/>
          <w:sz w:val="22"/>
          <w:szCs w:val="22"/>
          <w:color w:val="auto"/>
        </w:rPr>
        <w:t>”) by the Company of 50.1% of the ordinary shares of Technip Energies to shareholders of the Company.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Spinoff Documents</w:t>
      </w:r>
      <w:r>
        <w:rPr>
          <w:rFonts w:ascii="Arial" w:cs="Arial" w:eastAsia="Arial" w:hAnsi="Arial"/>
          <w:sz w:val="22"/>
          <w:szCs w:val="22"/>
          <w:color w:val="auto"/>
        </w:rPr>
        <w:t>” means the Distribution Agreement, the Share Purchase Agreement, the Relationship Agreement with Technip Energies and Bpifrance Participations SA, dated as of January 7, 2021, and any other documents and agreements entered, or to be entered, into in connection with the Spinoff and the Transactions.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Spinoff Transactions</w:t>
      </w:r>
      <w:r>
        <w:rPr>
          <w:rFonts w:ascii="Arial" w:cs="Arial" w:eastAsia="Arial" w:hAnsi="Arial"/>
          <w:sz w:val="22"/>
          <w:szCs w:val="22"/>
          <w:color w:val="auto"/>
        </w:rPr>
        <w:t>” means the Spinoff and all other transactions pursuant to, and the performance of all other obligations under, the Spinoff Documents.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LIBO Rate, for eurocurrency funding (currently referred to as “Eurocurrency Liabilities” in Regulation D). Such reserve percentage shall include those imposed pursuant to such Regulation D. Eurocurrency Loans shall be deemed to constitute eurocurrency funding and to be subject to such reserve requirements without benefit of or credit for proration, exemptions or offsets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8" w:right="339" w:bottom="1440" w:gutter="0" w:footer="0" w:header="0"/>
        </w:sectPr>
      </w:pPr>
    </w:p>
    <w:bookmarkStart w:id="131" w:name="page132"/>
    <w:bookmarkEnd w:id="131"/>
    <w:p>
      <w:pPr>
        <w:jc w:val="both"/>
        <w:spacing w:after="0" w:line="287" w:lineRule="auto"/>
        <w:rPr>
          <w:sz w:val="20"/>
          <w:szCs w:val="20"/>
          <w:color w:val="auto"/>
        </w:rPr>
      </w:pPr>
      <w:r>
        <w:rPr>
          <w:rFonts w:ascii="Arial" w:cs="Arial" w:eastAsia="Arial" w:hAnsi="Arial"/>
          <w:sz w:val="21"/>
          <w:szCs w:val="21"/>
          <w:color w:val="auto"/>
        </w:rPr>
        <w:t>available from time to time to any Lender under such Regulation D or any comparable regulation. The Statutory Reserve Rate shall be adjusted automatically on and as of the effective date of any change in any reserve percentage.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”means the lawful money of the United Kingdom.</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(the “</w:t>
      </w:r>
      <w:r>
        <w:rPr>
          <w:rFonts w:ascii="Arial" w:cs="Arial" w:eastAsia="Arial" w:hAnsi="Arial"/>
          <w:sz w:val="21"/>
          <w:szCs w:val="21"/>
          <w:u w:val="single" w:color="auto"/>
          <w:color w:val="auto"/>
        </w:rPr>
        <w:t>parent</w:t>
      </w:r>
      <w:r>
        <w:rPr>
          <w:rFonts w:ascii="Arial" w:cs="Arial" w:eastAsia="Arial" w:hAnsi="Arial"/>
          <w:sz w:val="21"/>
          <w:szCs w:val="21"/>
          <w:color w:val="auto"/>
        </w:rPr>
        <w:t>”) at any date, any corporation, limited liability company, partnership, association or other business entity of which a majority of the shares or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by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subsidiary of the Company unless the context otherwise requires.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Supply Chain Bank Purchaser</w:t>
      </w:r>
      <w:r>
        <w:rPr>
          <w:rFonts w:ascii="Arial" w:cs="Arial" w:eastAsia="Arial" w:hAnsi="Arial"/>
          <w:sz w:val="19"/>
          <w:szCs w:val="19"/>
          <w:color w:val="auto"/>
        </w:rPr>
        <w:t xml:space="preserve">” means any subsequent purchaser of any trade payables that had been initially acquired by a Person that was a Secured Supply Chain Bank pursuant to clause (a) of the definition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subsequent purchaser is designated as such in writing delivered to the Administrative Agent in substantially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w:t>
      </w:r>
    </w:p>
    <w:p>
      <w:pPr>
        <w:spacing w:after="0" w:line="1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Supply Chain Financing</w:t>
      </w:r>
      <w:r>
        <w:rPr>
          <w:rFonts w:ascii="Arial" w:cs="Arial" w:eastAsia="Arial" w:hAnsi="Arial"/>
          <w:sz w:val="21"/>
          <w:szCs w:val="21"/>
          <w:color w:val="auto"/>
        </w:rPr>
        <w:t>” means any agreement under which any bank, financial institution or other Person may from time to time provide any financial accommodation to any of the Borrowers or any Restricted Subsidiary in connection with trade payables of the Borrowers or any Restricted Subsidiary (including the acquisition of the receivables corresponding to such trade payables pursuant to “supply chain” or other similar financing, so long as (i) the terms of such trade payables shall not have been extended in connection with the Supply Chain Financing and (ii) such Indebtedness represents amounts not in excess of those which a Borrower or any Restricted Subsidiary would otherwise have been obligated to pay to its vendor or supplier in respect of the applicable trade payables.</w:t>
      </w:r>
    </w:p>
    <w:p>
      <w:pPr>
        <w:spacing w:after="0" w:line="18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Obligations</w:t>
      </w:r>
      <w:r>
        <w:rPr>
          <w:rFonts w:ascii="Arial" w:cs="Arial" w:eastAsia="Arial" w:hAnsi="Arial"/>
          <w:sz w:val="19"/>
          <w:szCs w:val="19"/>
          <w:color w:val="auto"/>
        </w:rPr>
        <w:t>” means, with respect to a Borrower or any Guarantor, an obligation to pay or perform under any agreement, contract or transaction that constitutes a “swap” within the meaning of § 1a(47) of the Commodity Exchange Act.</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TARGET2</w:t>
      </w:r>
      <w:r>
        <w:rPr>
          <w:rFonts w:ascii="Arial" w:cs="Arial" w:eastAsia="Arial" w:hAnsi="Arial"/>
          <w:sz w:val="22"/>
          <w:szCs w:val="22"/>
          <w:color w:val="auto"/>
        </w:rPr>
        <w:t>” means the Trans-European Automated Real-time Gross Settlement Express Transfer payment system which utilizes a single shared platform and which was launched on November 19, 2007.</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Day</w:t>
      </w:r>
      <w:r>
        <w:rPr>
          <w:rFonts w:ascii="Arial" w:cs="Arial" w:eastAsia="Arial" w:hAnsi="Arial"/>
          <w:sz w:val="22"/>
          <w:szCs w:val="22"/>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8" w:right="339" w:bottom="1440" w:gutter="0" w:footer="0" w:header="0"/>
        </w:sectPr>
      </w:pPr>
    </w:p>
    <w:bookmarkStart w:id="132" w:name="page133"/>
    <w:bookmarkEnd w:id="132"/>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Techdof Brasil</w:t>
      </w:r>
      <w:r>
        <w:rPr>
          <w:rFonts w:ascii="Arial" w:cs="Arial" w:eastAsia="Arial" w:hAnsi="Arial"/>
          <w:sz w:val="22"/>
          <w:szCs w:val="22"/>
          <w:color w:val="auto"/>
        </w:rPr>
        <w:t>” means Techdof Brasil AS, a Norwegian joint venture arrangement wholly owned by Dofcon Brasil, which holds the Vessels Skandi A</w:t>
      </w:r>
      <w:r>
        <w:rPr>
          <w:rFonts w:ascii="Arial" w:cs="Arial" w:eastAsia="Arial" w:hAnsi="Arial"/>
          <w:sz w:val="22"/>
          <w:szCs w:val="22"/>
          <w:color w:val="1F497D"/>
        </w:rPr>
        <w:t>ç</w:t>
      </w:r>
      <w:r>
        <w:rPr>
          <w:rFonts w:ascii="Arial" w:cs="Arial" w:eastAsia="Arial" w:hAnsi="Arial"/>
          <w:sz w:val="22"/>
          <w:szCs w:val="22"/>
          <w:color w:val="auto"/>
        </w:rPr>
        <w:t>u and Skandi Buzios as of the Effective Date.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Technip Energies</w:t>
      </w:r>
      <w:r>
        <w:rPr>
          <w:rFonts w:ascii="Arial" w:cs="Arial" w:eastAsia="Arial" w:hAnsi="Arial"/>
          <w:sz w:val="22"/>
          <w:szCs w:val="22"/>
          <w:color w:val="auto"/>
        </w:rPr>
        <w:t>” means Technip Energies N.V., a Dutch public limited company (</w:t>
      </w:r>
      <w:r>
        <w:rPr>
          <w:rFonts w:ascii="Arial" w:cs="Arial" w:eastAsia="Arial" w:hAnsi="Arial"/>
          <w:sz w:val="22"/>
          <w:szCs w:val="22"/>
          <w:i w:val="1"/>
          <w:iCs w:val="1"/>
          <w:color w:val="auto"/>
        </w:rPr>
        <w:t>naamloze vennootschap</w:t>
      </w:r>
      <w:r>
        <w:rPr>
          <w:rFonts w:ascii="Arial" w:cs="Arial" w:eastAsia="Arial" w:hAnsi="Arial"/>
          <w:sz w:val="22"/>
          <w:szCs w:val="22"/>
          <w:color w:val="auto"/>
        </w:rPr>
        <w:t>) and any successor Person.</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ESTR</w:t>
      </w:r>
      <w:r>
        <w:rPr>
          <w:rFonts w:ascii="Arial" w:cs="Arial" w:eastAsia="Arial" w:hAnsi="Arial"/>
          <w:sz w:val="21"/>
          <w:szCs w:val="21"/>
          <w:color w:val="auto"/>
        </w:rPr>
        <w:t>” means, for the applicable Corresponding Tenor as of the applicable Reference Time, the forward-looking term rate based on ESTR that has been selected or recommended by the Relevant Governmental Body.</w:t>
      </w:r>
    </w:p>
    <w:p>
      <w:pPr>
        <w:spacing w:after="0" w:line="13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ESTR Notice</w:t>
      </w:r>
      <w:r>
        <w:rPr>
          <w:rFonts w:ascii="Arial" w:cs="Arial" w:eastAsia="Arial" w:hAnsi="Arial"/>
          <w:sz w:val="22"/>
          <w:szCs w:val="22"/>
          <w:color w:val="auto"/>
        </w:rPr>
        <w:t>” means a notification by the Administrative Agent to the Lenders and the Borrower of the occurrence of a Term ESTR Transition Event.</w:t>
      </w:r>
    </w:p>
    <w:p>
      <w:pPr>
        <w:spacing w:after="0" w:line="1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ESTR Transition Event</w:t>
      </w:r>
      <w:r>
        <w:rPr>
          <w:rFonts w:ascii="Arial" w:cs="Arial" w:eastAsia="Arial" w:hAnsi="Arial"/>
          <w:sz w:val="21"/>
          <w:szCs w:val="21"/>
          <w:color w:val="auto"/>
        </w:rPr>
        <w:t xml:space="preserve">” means the determination by the Administrative Agent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that is not Term ESTR.</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w:t>
      </w:r>
      <w:r>
        <w:rPr>
          <w:rFonts w:ascii="Arial" w:cs="Arial" w:eastAsia="Arial" w:hAnsi="Arial"/>
          <w:sz w:val="21"/>
          <w:szCs w:val="21"/>
          <w:color w:val="auto"/>
        </w:rPr>
        <w:t>” means, for the applicable Corresponding Tenor as of the applicable Reference Time, the forward-looking term rate based on SOFR that has been selected or recommended by the Relevant Governmental Body.</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Notice</w:t>
      </w:r>
      <w:r>
        <w:rPr>
          <w:rFonts w:ascii="Arial" w:cs="Arial" w:eastAsia="Arial" w:hAnsi="Arial"/>
          <w:sz w:val="22"/>
          <w:szCs w:val="22"/>
          <w:color w:val="auto"/>
        </w:rPr>
        <w:t>” means a notification by the Administrative Agent to the Lenders and the Company of the occurrence of a Term SOFR Transition Event.</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Transition Event</w:t>
      </w:r>
      <w:r>
        <w:rPr>
          <w:rFonts w:ascii="Arial" w:cs="Arial" w:eastAsia="Arial" w:hAnsi="Arial"/>
          <w:sz w:val="21"/>
          <w:szCs w:val="21"/>
          <w:color w:val="auto"/>
        </w:rPr>
        <w:t xml:space="preserve">”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that is not Term SOFR.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Commitments</w:t>
      </w:r>
      <w:r>
        <w:rPr>
          <w:rFonts w:ascii="Arial" w:cs="Arial" w:eastAsia="Arial" w:hAnsi="Arial"/>
          <w:sz w:val="21"/>
          <w:szCs w:val="21"/>
          <w:color w:val="auto"/>
        </w:rPr>
        <w:t>” means, at any time, the sum of the Commitments of all the Revolving Lenders at such time.</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Leverage Ratio</w:t>
      </w:r>
      <w:r>
        <w:rPr>
          <w:rFonts w:ascii="Arial" w:cs="Arial" w:eastAsia="Arial" w:hAnsi="Arial"/>
          <w:sz w:val="21"/>
          <w:szCs w:val="21"/>
          <w:color w:val="auto"/>
        </w:rPr>
        <w:t>” means, as of the last day of any fiscal quarter, the ratio of (a) Consolidated Net Debt as of such date to (b) Consolidated EBITDA for the four consecutive fiscal quarters of the Company ended on such date.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Exposure</w:t>
      </w:r>
      <w:r>
        <w:rPr>
          <w:rFonts w:ascii="Arial" w:cs="Arial" w:eastAsia="Arial" w:hAnsi="Arial"/>
          <w:sz w:val="19"/>
          <w:szCs w:val="19"/>
          <w:color w:val="auto"/>
        </w:rPr>
        <w:t>” means, at any time, the sum of the Revolving Exposures of all the Revolving Lenders at such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Costs</w:t>
      </w:r>
      <w:r>
        <w:rPr>
          <w:rFonts w:ascii="Arial" w:cs="Arial" w:eastAsia="Arial" w:hAnsi="Arial"/>
          <w:sz w:val="22"/>
          <w:szCs w:val="22"/>
          <w:color w:val="auto"/>
        </w:rPr>
        <w:t>” means all fees, costs and expenses incurred or payable by the Company or any Subsidiary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7" w:right="339" w:bottom="1440" w:gutter="0" w:footer="0" w:header="0"/>
        </w:sectPr>
      </w:pPr>
    </w:p>
    <w:bookmarkStart w:id="133" w:name="page134"/>
    <w:bookmarkEnd w:id="133"/>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collectively, (a) the execution, delivery and performance by each Loan Party of the Loan Documents (including this Agreement) to which it is to be a party, the borrowing of Loans, the use of the proceeds thereof and the issuance of Letters of Credit hereunder, (b) the execution, delivery and performance by each Loan Party of the Senior Unsecured Notes Documents to which it is to be a party, the issuance of the Senior Unsecured Notes and the use of the proceeds thereof (including, together with cash on hand, to satisfy and discharge, refinance, repay, redeem and/or cancel the Effective Date Refinanced Debt), (c) the payment of the Transaction Costs and (d) the Spinoff Transactions.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when used in reference to any Loan or Borrowing, refers to whether the rate of interest on such Loan, or on the Loans comprising such Borrowing, is determined by reference to the Adjusted LIBO Rate, the Adjusted EURIBOR Rate or the Alternate Base Rate.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UCP</w:t>
      </w:r>
      <w:r>
        <w:rPr>
          <w:rFonts w:ascii="Arial" w:cs="Arial" w:eastAsia="Arial" w:hAnsi="Arial"/>
          <w:sz w:val="22"/>
          <w:szCs w:val="22"/>
          <w:color w:val="auto"/>
        </w:rPr>
        <w:t>” means the Uniform Customs and Practice for Documentary Credits, International Chamber of Commerce (“</w:t>
      </w:r>
      <w:r>
        <w:rPr>
          <w:rFonts w:ascii="Arial" w:cs="Arial" w:eastAsia="Arial" w:hAnsi="Arial"/>
          <w:sz w:val="22"/>
          <w:szCs w:val="22"/>
          <w:u w:val="single" w:color="auto"/>
          <w:color w:val="auto"/>
        </w:rPr>
        <w:t>ICC</w:t>
      </w:r>
      <w:r>
        <w:rPr>
          <w:rFonts w:ascii="Arial" w:cs="Arial" w:eastAsia="Arial" w:hAnsi="Arial"/>
          <w:sz w:val="22"/>
          <w:szCs w:val="22"/>
          <w:color w:val="auto"/>
        </w:rPr>
        <w:t>”) Publication No. 600 (or such later version thereof as may be in effect at the time of issuance).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w:t>
      </w:r>
      <w:r>
        <w:rPr>
          <w:rFonts w:ascii="Arial" w:cs="Arial" w:eastAsia="Arial" w:hAnsi="Arial"/>
          <w:sz w:val="22"/>
          <w:szCs w:val="22"/>
          <w:color w:val="auto"/>
        </w:rPr>
        <w:t>” or “</w:t>
      </w:r>
      <w:r>
        <w:rPr>
          <w:rFonts w:ascii="Arial" w:cs="Arial" w:eastAsia="Arial" w:hAnsi="Arial"/>
          <w:sz w:val="22"/>
          <w:szCs w:val="22"/>
          <w:u w:val="single" w:color="auto"/>
          <w:color w:val="auto"/>
        </w:rPr>
        <w:t>United Kingdom</w:t>
      </w:r>
      <w:r>
        <w:rPr>
          <w:rFonts w:ascii="Arial" w:cs="Arial" w:eastAsia="Arial" w:hAnsi="Arial"/>
          <w:sz w:val="22"/>
          <w:szCs w:val="22"/>
          <w:color w:val="auto"/>
        </w:rPr>
        <w:t>” means the United Kingdom of Great Britain and Northern Ireland.</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Borrower</w:t>
      </w:r>
      <w:r>
        <w:rPr>
          <w:rFonts w:ascii="Arial" w:cs="Arial" w:eastAsia="Arial" w:hAnsi="Arial"/>
          <w:sz w:val="22"/>
          <w:szCs w:val="22"/>
          <w:color w:val="auto"/>
        </w:rPr>
        <w:t>” means any Borrower (i) that is incorporated or existing under the laws of England and Wales or (ii) payments from which under this Agreement or any other Loan Document are subject to UK Withholding Tax.</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Insolvency Act</w:t>
      </w:r>
      <w:r>
        <w:rPr>
          <w:rFonts w:ascii="Arial" w:cs="Arial" w:eastAsia="Arial" w:hAnsi="Arial"/>
          <w:sz w:val="22"/>
          <w:szCs w:val="22"/>
          <w:color w:val="auto"/>
        </w:rPr>
        <w:t>” means the Insolvency Act 1986 enacted in the United Kingdom, as such act may be amended, varied, supplemented or replaced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Insolvency Event</w:t>
      </w:r>
      <w:r>
        <w:rPr>
          <w:rFonts w:ascii="Arial" w:cs="Arial" w:eastAsia="Arial" w:hAnsi="Arial"/>
          <w:sz w:val="22"/>
          <w:szCs w:val="22"/>
          <w:color w:val="auto"/>
        </w:rPr>
        <w:t>” means:</w:t>
      </w:r>
    </w:p>
    <w:p>
      <w:pPr>
        <w:spacing w:after="0" w:line="220" w:lineRule="exact"/>
        <w:rPr>
          <w:sz w:val="20"/>
          <w:szCs w:val="20"/>
          <w:color w:val="auto"/>
        </w:rPr>
      </w:pPr>
    </w:p>
    <w:p>
      <w:pPr>
        <w:jc w:val="both"/>
        <w:ind w:firstLine="656"/>
        <w:spacing w:after="0" w:line="312" w:lineRule="auto"/>
        <w:tabs>
          <w:tab w:leader="none" w:pos="1158"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UK Relevant Entity is unable or admits inability to pay its debts as they fall due, suspends making payments on any of its material debts or, by reason of actual or anticipated financial difficulties, commences negotiations with one or more class of creditors (other than pursuant to the Loan Documents) with a view to rescheduling any of its Material Indebtedness;</w:t>
      </w:r>
    </w:p>
    <w:p>
      <w:pPr>
        <w:spacing w:after="0" w:line="133" w:lineRule="exact"/>
        <w:rPr>
          <w:rFonts w:ascii="Arial" w:cs="Arial" w:eastAsia="Arial" w:hAnsi="Arial"/>
          <w:sz w:val="19"/>
          <w:szCs w:val="19"/>
          <w:color w:val="auto"/>
        </w:rPr>
      </w:pPr>
    </w:p>
    <w:p>
      <w:pPr>
        <w:ind w:left="1120" w:hanging="464"/>
        <w:spacing w:after="0"/>
        <w:tabs>
          <w:tab w:leader="none" w:pos="11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corporate action, legal proceedings or other formal legal procedure or step is taken in relation to:</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734"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suspension of payments of its debts generally, a moratorium of any indebtedness, winding-up, liquidation, dissolution, administration or reorganization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7" w:right="339" w:bottom="1440" w:gutter="0" w:footer="0" w:header="0"/>
        </w:sectPr>
      </w:pPr>
    </w:p>
    <w:bookmarkStart w:id="134" w:name="page135"/>
    <w:bookmarkEnd w:id="134"/>
    <w:p>
      <w:pPr>
        <w:jc w:val="center"/>
        <w:ind w:right="-79"/>
        <w:spacing w:after="0"/>
        <w:rPr>
          <w:sz w:val="20"/>
          <w:szCs w:val="20"/>
          <w:color w:val="auto"/>
        </w:rPr>
      </w:pPr>
      <w:r>
        <w:rPr>
          <w:rFonts w:ascii="Arial" w:cs="Arial" w:eastAsia="Arial" w:hAnsi="Arial"/>
          <w:sz w:val="22"/>
          <w:szCs w:val="22"/>
          <w:color w:val="auto"/>
        </w:rPr>
        <w:t>way of voluntary arrangement, scheme of arrangement, restructuring plan or otherwise) of any UK Relevant Entity;</w:t>
      </w:r>
    </w:p>
    <w:p>
      <w:pPr>
        <w:spacing w:after="0" w:line="220" w:lineRule="exact"/>
        <w:rPr>
          <w:sz w:val="20"/>
          <w:szCs w:val="20"/>
          <w:color w:val="auto"/>
        </w:rPr>
      </w:pPr>
    </w:p>
    <w:p>
      <w:pPr>
        <w:jc w:val="both"/>
        <w:ind w:left="660" w:firstLine="644"/>
        <w:spacing w:after="0" w:line="253" w:lineRule="auto"/>
        <w:tabs>
          <w:tab w:leader="none" w:pos="2007" w:val="left"/>
        </w:tabs>
        <w:numPr>
          <w:ilvl w:val="0"/>
          <w:numId w:val="57"/>
        </w:numPr>
        <w:rPr>
          <w:rFonts w:ascii="Arial" w:cs="Arial" w:eastAsia="Arial" w:hAnsi="Arial"/>
          <w:sz w:val="22"/>
          <w:szCs w:val="22"/>
          <w:color w:val="auto"/>
        </w:rPr>
      </w:pPr>
      <w:r>
        <w:rPr>
          <w:rFonts w:ascii="Arial" w:cs="Arial" w:eastAsia="Arial" w:hAnsi="Arial"/>
          <w:sz w:val="22"/>
          <w:szCs w:val="22"/>
          <w:color w:val="auto"/>
        </w:rPr>
        <w:t>(by reason of actual or anticipated financial difficulties) a composition, compromise, assignment or arrangement with any class of creditors of any UK Relevant Entity (excluding any Secured Party in its capacity as such with respect to any Obligations);</w:t>
      </w:r>
    </w:p>
    <w:p>
      <w:pPr>
        <w:spacing w:after="0" w:line="185" w:lineRule="exact"/>
        <w:rPr>
          <w:rFonts w:ascii="Arial" w:cs="Arial" w:eastAsia="Arial" w:hAnsi="Arial"/>
          <w:sz w:val="22"/>
          <w:szCs w:val="22"/>
          <w:color w:val="auto"/>
        </w:rPr>
      </w:pPr>
    </w:p>
    <w:p>
      <w:pPr>
        <w:ind w:left="660" w:firstLine="644"/>
        <w:spacing w:after="0" w:line="287" w:lineRule="auto"/>
        <w:tabs>
          <w:tab w:leader="none" w:pos="1952"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appointment of a liquidator, receiver, administrative receiver, administrator, compulsory manager, or other similar officer in respect of any UK Relevant Entity, or all or substantially all of its assets; or</w:t>
      </w:r>
    </w:p>
    <w:p>
      <w:pPr>
        <w:spacing w:after="0" w:line="151" w:lineRule="exact"/>
        <w:rPr>
          <w:rFonts w:ascii="Arial" w:cs="Arial" w:eastAsia="Arial" w:hAnsi="Arial"/>
          <w:sz w:val="21"/>
          <w:szCs w:val="21"/>
          <w:color w:val="auto"/>
        </w:rPr>
      </w:pPr>
    </w:p>
    <w:p>
      <w:pPr>
        <w:jc w:val="both"/>
        <w:ind w:left="660" w:firstLine="644"/>
        <w:spacing w:after="0" w:line="259" w:lineRule="auto"/>
        <w:tabs>
          <w:tab w:leader="none" w:pos="1864" w:val="left"/>
        </w:tabs>
        <w:numPr>
          <w:ilvl w:val="0"/>
          <w:numId w:val="57"/>
        </w:numPr>
        <w:rPr>
          <w:rFonts w:ascii="Arial" w:cs="Arial" w:eastAsia="Arial" w:hAnsi="Arial"/>
          <w:sz w:val="21"/>
          <w:szCs w:val="21"/>
          <w:color w:val="auto"/>
        </w:rPr>
      </w:pPr>
      <w:r>
        <w:rPr>
          <w:rFonts w:ascii="Arial" w:cs="Arial" w:eastAsia="Arial" w:hAnsi="Arial"/>
          <w:sz w:val="21"/>
          <w:szCs w:val="21"/>
          <w:color w:val="auto"/>
        </w:rPr>
        <w:t>enforcement of any Lien over any material asset of any UK Relevant Entity, or any analogous procedure or step is taken in any jurisdiction, save that this clause (b) shall not apply to (1) any involuntary proceeding or procedure that is discharged, permanently stayed or dismissed within 21 days of commencement, or (2) any solvent liquidation or reorganization of any Restricted Subsidiary incorporated under the laws of England and Wales so long as any payments or assets distributed as a result of such liquidation or reorganization are distributed to the Company or other Restricted Subsidiaries; provided that, in the case of any such Restricted Subsidiary being liquidated or reorganized (x) that is a wholly-owned Restricted Subsidiary, such distribution is to one or more Loan Parties or wholly-owned Restricted Subsidiaries or (y) the Equity Interests of which were directly owned by one or more Loan Parties, such distribution is to one or more Loan Parties;</w:t>
      </w:r>
    </w:p>
    <w:p>
      <w:pPr>
        <w:spacing w:after="0" w:line="179" w:lineRule="exact"/>
        <w:rPr>
          <w:sz w:val="20"/>
          <w:szCs w:val="20"/>
          <w:color w:val="auto"/>
        </w:rPr>
      </w:pPr>
    </w:p>
    <w:p>
      <w:pPr>
        <w:jc w:val="both"/>
        <w:ind w:firstLine="656"/>
        <w:spacing w:after="0" w:line="253" w:lineRule="auto"/>
        <w:tabs>
          <w:tab w:leader="none" w:pos="1226"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expropriation, attachment, sequestration, distress or execution affects any asset or assets of a UK Relevant Entity, except where (i) such action has not had, and would not reasonably be expected to have, a Material Adverse Effect, or (ii) such action is discharged within 21 days;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transaction permitted by Section 6.03 shall constitute a UK Insolvency Event.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Loan Party</w:t>
      </w:r>
      <w:r>
        <w:rPr>
          <w:rFonts w:ascii="Arial" w:cs="Arial" w:eastAsia="Arial" w:hAnsi="Arial"/>
          <w:sz w:val="22"/>
          <w:szCs w:val="22"/>
          <w:color w:val="auto"/>
        </w:rPr>
        <w:t>” means the Company and any other Loan Party or Loan Parties incorporated or existing under the laws of England and Wales.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Non-Bank Lender</w:t>
      </w:r>
      <w:r>
        <w:rPr>
          <w:rFonts w:ascii="Arial" w:cs="Arial" w:eastAsia="Arial" w:hAnsi="Arial"/>
          <w:sz w:val="22"/>
          <w:szCs w:val="22"/>
          <w:color w:val="auto"/>
        </w:rPr>
        <w:t>” means a Lender which is:</w:t>
      </w:r>
    </w:p>
    <w:p>
      <w:pPr>
        <w:spacing w:after="0" w:line="220" w:lineRule="exact"/>
        <w:rPr>
          <w:sz w:val="20"/>
          <w:szCs w:val="20"/>
          <w:color w:val="auto"/>
        </w:rPr>
      </w:pPr>
    </w:p>
    <w:p>
      <w:pPr>
        <w:ind w:left="1120" w:hanging="464"/>
        <w:spacing w:after="0"/>
        <w:tabs>
          <w:tab w:leader="none" w:pos="11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company resident in the United Kingdom for United Kingdom tax purposes;</w:t>
      </w:r>
    </w:p>
    <w:p>
      <w:pPr>
        <w:spacing w:after="0" w:line="219" w:lineRule="exact"/>
        <w:rPr>
          <w:rFonts w:ascii="Arial" w:cs="Arial" w:eastAsia="Arial" w:hAnsi="Arial"/>
          <w:sz w:val="22"/>
          <w:szCs w:val="22"/>
          <w:color w:val="auto"/>
        </w:rPr>
      </w:pPr>
    </w:p>
    <w:p>
      <w:pPr>
        <w:jc w:val="both"/>
        <w:ind w:firstLine="656"/>
        <w:spacing w:after="0" w:line="265" w:lineRule="auto"/>
        <w:tabs>
          <w:tab w:leader="none" w:pos="1214" w:val="left"/>
        </w:tabs>
        <w:numPr>
          <w:ilvl w:val="0"/>
          <w:numId w:val="59"/>
        </w:numPr>
        <w:rPr>
          <w:rFonts w:ascii="Arial" w:cs="Arial" w:eastAsia="Arial" w:hAnsi="Arial"/>
          <w:sz w:val="21"/>
          <w:szCs w:val="21"/>
          <w:color w:val="auto"/>
        </w:rPr>
      </w:pPr>
      <w:r>
        <w:rPr>
          <w:rFonts w:ascii="Arial" w:cs="Arial" w:eastAsia="Arial" w:hAnsi="Arial"/>
          <w:sz w:val="21"/>
          <w:szCs w:val="21"/>
          <w:color w:val="auto"/>
        </w:rPr>
        <w:t>a partnership each member of which is (x) a company resident in the United Kingdom for United Kingdom tax purposes, or (y) a company not so resident which carries on a trade in the United Kingdom through a permanent establishment and which brings into account in computing its chargeable profits (within the meaning of Section 19 of the CTA) the whole of any share of such interest that is attributable to it because of Part 17 of the CTA;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7" w:right="339" w:bottom="1440" w:gutter="0" w:footer="0" w:header="0"/>
        </w:sectPr>
      </w:pPr>
    </w:p>
    <w:bookmarkStart w:id="135" w:name="page136"/>
    <w:bookmarkEnd w:id="135"/>
    <w:p>
      <w:pPr>
        <w:jc w:val="both"/>
        <w:ind w:firstLine="656"/>
        <w:spacing w:after="0" w:line="253" w:lineRule="auto"/>
        <w:tabs>
          <w:tab w:leader="none" w:pos="1181"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company not resident in the United Kingdom for United Kingdom tax purposes which carries on a trade in the United Kingdom through a permanent establishment and which brings into account such interest in computing the chargeable profits (within the meaning of Section 19 of the CTA) of that company.</w:t>
      </w:r>
    </w:p>
    <w:p>
      <w:pPr>
        <w:spacing w:after="0" w:line="18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Relevant Entity</w:t>
      </w:r>
      <w:r>
        <w:rPr>
          <w:rFonts w:ascii="Arial" w:cs="Arial" w:eastAsia="Arial" w:hAnsi="Arial"/>
          <w:sz w:val="21"/>
          <w:szCs w:val="21"/>
          <w:color w:val="auto"/>
        </w:rPr>
        <w:t>” means any UK Loan Party or any other Loan Party or Material Subsidiary capable of becoming subject to an order for winding-up or administration under the Insolvency Act 1986 of the United Kingdom.</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Tax Confirmation</w:t>
      </w:r>
      <w:r>
        <w:rPr>
          <w:rFonts w:ascii="Arial" w:cs="Arial" w:eastAsia="Arial" w:hAnsi="Arial"/>
          <w:sz w:val="22"/>
          <w:szCs w:val="22"/>
          <w:color w:val="auto"/>
        </w:rPr>
        <w:t>” means a confirmation by a Lender that the person beneficially entitled to interest payable to that Lender is a UK Non-Bank Lender.</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Treaty Lender</w:t>
      </w:r>
      <w:r>
        <w:rPr>
          <w:rFonts w:ascii="Arial" w:cs="Arial" w:eastAsia="Arial" w:hAnsi="Arial"/>
          <w:sz w:val="19"/>
          <w:szCs w:val="19"/>
          <w:color w:val="auto"/>
        </w:rPr>
        <w:t>” means a Lender which (i) is treated as a resident of a UK Treaty State for the purposes of the relevant UK Treaty; (ii) does not carry on a business in the UK through a permanent establishment with which that Lender’s participation in the Loan is effectively connected; and (iii) fulfils any conditions in the relevant UK Treaty which must be fulfilled or met by that Lender to obtain full exemption from UK Withholding Tax on interest payable to that Lender in respect of an advance under a Loan Document, subject to the completion of any necessary procedural formalities.</w:t>
      </w:r>
    </w:p>
    <w:p>
      <w:pPr>
        <w:spacing w:after="0" w:line="1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Treaty State</w:t>
      </w:r>
      <w:r>
        <w:rPr>
          <w:rFonts w:ascii="Arial" w:cs="Arial" w:eastAsia="Arial" w:hAnsi="Arial"/>
          <w:sz w:val="22"/>
          <w:szCs w:val="22"/>
          <w:color w:val="auto"/>
        </w:rPr>
        <w:t>” means a jurisdiction having a double taxation agreement (a “UK Treaty”) with the UK which makes provision for full exemption from tax imposed by the UK on interest.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“UK Withholding Tax”</w:t>
      </w:r>
      <w:r>
        <w:rPr>
          <w:rFonts w:ascii="Arial" w:cs="Arial" w:eastAsia="Arial" w:hAnsi="Arial"/>
          <w:sz w:val="22"/>
          <w:szCs w:val="22"/>
          <w:color w:val="auto"/>
        </w:rPr>
        <w:t xml:space="preserve"> means a deduction or withholding for or on account of Tax imposed by the UK from a payment under a Loan Document.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xml:space="preserve">” means the Uniform Commercial Code as in effect from time to time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any time, if by reason of mandatory provisions of law, any or all of the perfection or priority of the Administrative Agent’s and the Secured Parties’ security interest in any item or portion of the Collateral is governed by the Uniform Commercial Code as in effect in a jurisdiction other than the State of New York, the term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Borrower</w:t>
      </w:r>
      <w:r>
        <w:rPr>
          <w:rFonts w:ascii="Arial" w:cs="Arial" w:eastAsia="Arial" w:hAnsi="Arial"/>
          <w:sz w:val="22"/>
          <w:szCs w:val="22"/>
          <w:color w:val="auto"/>
        </w:rPr>
        <w:t>” has the meaning assigned to it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7" w:right="339" w:bottom="1440" w:gutter="0" w:footer="0" w:header="0"/>
        </w:sectPr>
      </w:pPr>
    </w:p>
    <w:bookmarkStart w:id="136" w:name="page137"/>
    <w:bookmarkEnd w:id="13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 “United States person” within the meaning of Section 7701(a)(30) of the Code.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2.17(e)(ii)(B)(3)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Subsidiaries</w:t>
      </w:r>
      <w:r>
        <w:rPr>
          <w:rFonts w:ascii="Arial" w:cs="Arial" w:eastAsia="Arial" w:hAnsi="Arial"/>
          <w:sz w:val="19"/>
          <w:szCs w:val="19"/>
          <w:color w:val="auto"/>
        </w:rPr>
        <w:t xml:space="preserve">” means (a) any Subsidiary that is formed or acquired after the Effective Date and is designated as an Unrestricted Subsidiary by the Company pursuant to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subsequent to the Effective Date and (b) any Subsidiary of an Unrestricted Subsidiary. As of the Effective Date, The Red Adair Company LLC shall be an Unrestricted Subsidiary.</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 Reconciliation Statement</w:t>
      </w:r>
      <w:r>
        <w:rPr>
          <w:rFonts w:ascii="Arial" w:cs="Arial" w:eastAsia="Arial" w:hAnsi="Arial"/>
          <w:sz w:val="19"/>
          <w:szCs w:val="19"/>
          <w:color w:val="auto"/>
        </w:rPr>
        <w:t>” means, with respect to any consolidated balance sheet or statement of operations, cash flows or stockholders’ equity of the Company and its consolidated Subsidiaries, such financial statement (in substantially the same form) prepared on the basis of consolidating the accounts of the Company and the Restricted Subsidiaries and treating Unrestricted Subsidiaries as if they were not consolidated and otherwise eliminating all accounts of Unrestricted Subsidiaries, together with an explanation of reconciliation adjustments in reasonable detail.</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VAT</w:t>
      </w:r>
      <w:r>
        <w:rPr>
          <w:rFonts w:ascii="Arial" w:cs="Arial" w:eastAsia="Arial" w:hAnsi="Arial"/>
          <w:sz w:val="22"/>
          <w:szCs w:val="22"/>
          <w:color w:val="auto"/>
        </w:rPr>
        <w:t>” means:</w:t>
      </w:r>
    </w:p>
    <w:p>
      <w:pPr>
        <w:spacing w:after="0" w:line="220" w:lineRule="exact"/>
        <w:rPr>
          <w:sz w:val="20"/>
          <w:szCs w:val="20"/>
          <w:color w:val="auto"/>
        </w:rPr>
      </w:pPr>
    </w:p>
    <w:p>
      <w:pPr>
        <w:ind w:left="1120" w:hanging="464"/>
        <w:spacing w:after="0"/>
        <w:tabs>
          <w:tab w:leader="none" w:pos="11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value added tax imposed by the Value Added Tax Act 1994;</w:t>
      </w:r>
    </w:p>
    <w:p>
      <w:pPr>
        <w:spacing w:after="0" w:line="219" w:lineRule="exact"/>
        <w:rPr>
          <w:rFonts w:ascii="Arial" w:cs="Arial" w:eastAsia="Arial" w:hAnsi="Arial"/>
          <w:sz w:val="22"/>
          <w:szCs w:val="22"/>
          <w:color w:val="auto"/>
        </w:rPr>
      </w:pPr>
    </w:p>
    <w:p>
      <w:pPr>
        <w:ind w:firstLine="656"/>
        <w:spacing w:after="0" w:line="263" w:lineRule="auto"/>
        <w:tabs>
          <w:tab w:leader="none" w:pos="1172"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tax imposed in compliance with the Council Directive of 28 November 2006 on the common system of value added tax (EC Directive 2006/112); and</w:t>
      </w:r>
    </w:p>
    <w:p>
      <w:pPr>
        <w:spacing w:after="0" w:line="174" w:lineRule="exact"/>
        <w:rPr>
          <w:rFonts w:ascii="Arial" w:cs="Arial" w:eastAsia="Arial" w:hAnsi="Arial"/>
          <w:sz w:val="22"/>
          <w:szCs w:val="22"/>
          <w:color w:val="auto"/>
        </w:rPr>
      </w:pPr>
    </w:p>
    <w:p>
      <w:pPr>
        <w:ind w:firstLine="656"/>
        <w:spacing w:after="0" w:line="343" w:lineRule="auto"/>
        <w:tabs>
          <w:tab w:leader="none" w:pos="1182"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other tax of a similar nature, whether imposed in the United Kingdom or in a member state of the European Union in substitution for, or levied in addition to, such tax referred to in paragraph (a) or (b) above, or imposed elsewhere.</w:t>
      </w:r>
    </w:p>
    <w:p>
      <w:pPr>
        <w:spacing w:after="0" w:line="1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Vessel</w:t>
      </w:r>
      <w:r>
        <w:rPr>
          <w:rFonts w:ascii="Arial" w:cs="Arial" w:eastAsia="Arial" w:hAnsi="Arial"/>
          <w:sz w:val="21"/>
          <w:szCs w:val="21"/>
          <w:color w:val="auto"/>
        </w:rPr>
        <w:t>” means any vessel whether now owned or later acquired by the owner and also any and all additions, improvements and replacements made in or to such vessel or any part of it or in or to its equipment and appurtenances.</w:t>
      </w:r>
    </w:p>
    <w:p>
      <w:pPr>
        <w:spacing w:after="0" w:line="15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Vessel Deed of Covenants</w:t>
      </w:r>
      <w:r>
        <w:rPr>
          <w:rFonts w:ascii="Arial" w:cs="Arial" w:eastAsia="Arial" w:hAnsi="Arial"/>
          <w:sz w:val="19"/>
          <w:szCs w:val="19"/>
          <w:color w:val="auto"/>
        </w:rPr>
        <w:t>” means, as applicable, a deed of covenants collateral to a Vessel Mortgage executed or, as the context may require, to be executed by the relevant owner of a Collateral Vessel in favor of the Collateral Agent in such form as may be agreed between the Administrative Agent and the Company and creating security over that Collateral Vessel.</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Vessel Mortgage</w:t>
      </w:r>
      <w:r>
        <w:rPr>
          <w:rFonts w:ascii="Arial" w:cs="Arial" w:eastAsia="Arial" w:hAnsi="Arial"/>
          <w:sz w:val="22"/>
          <w:szCs w:val="22"/>
          <w:color w:val="auto"/>
        </w:rPr>
        <w:t>” means, as applicable, a first priority or preferred ship mortgage on each Collateral Vessel, each duly registered in the vessel or ship registry appropriate for such Collateral Vessel in favor of the Collateral Agent and in such form as may be agreed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7"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Administrative Agent and the Company, together with, if relevant, the Vessel Deed of Covenants.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Equity Interests</w:t>
      </w:r>
      <w:r>
        <w:rPr>
          <w:rFonts w:ascii="Arial" w:cs="Arial" w:eastAsia="Arial" w:hAnsi="Arial"/>
          <w:sz w:val="22"/>
          <w:szCs w:val="22"/>
          <w:color w:val="auto"/>
        </w:rPr>
        <w:t>” of any Person means the Equity Interests of such Person ordinarily having the power to vote for the election of the directors of such Person.</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Subsidiary</w:t>
      </w:r>
      <w:r>
        <w:rPr>
          <w:rFonts w:ascii="Arial" w:cs="Arial" w:eastAsia="Arial" w:hAnsi="Arial"/>
          <w:sz w:val="22"/>
          <w:szCs w:val="22"/>
          <w:color w:val="auto"/>
        </w:rPr>
        <w:t>” means, with respect to any Person at any date, a Subsidiary of such Person of which securities or other ownership interests representing 100% of the Equity Interests (other than directors’ qualifying shares) are, as of such date, owned, controlled or held by such Person or one or more wholly owned Subsidiaries of such Person or by such Person and one or more wholly owned Subsidiaries of such Person.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Withholding Agent</w:t>
      </w:r>
      <w:r>
        <w:rPr>
          <w:rFonts w:ascii="Arial" w:cs="Arial" w:eastAsia="Arial" w:hAnsi="Arial"/>
          <w:sz w:val="21"/>
          <w:szCs w:val="21"/>
          <w:color w:val="auto"/>
        </w:rPr>
        <w:t>” means any Loan Party, the Administrative Agent and any other applicable withholding agent.</w:t>
      </w:r>
    </w:p>
    <w:p>
      <w:pPr>
        <w:spacing w:after="0" w:line="23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Classification of Loans and Borrowings</w:t>
      </w:r>
      <w:r>
        <w:rPr>
          <w:rFonts w:ascii="Arial" w:cs="Arial" w:eastAsia="Arial" w:hAnsi="Arial"/>
          <w:sz w:val="21"/>
          <w:szCs w:val="21"/>
          <w:color w:val="auto"/>
        </w:rPr>
        <w:t>. For purposes of this Agreement, Loans and Borrowings, respectively, may be classified and referred to by Type (</w:t>
      </w:r>
      <w:r>
        <w:rPr>
          <w:rFonts w:ascii="Arial" w:cs="Arial" w:eastAsia="Arial" w:hAnsi="Arial"/>
          <w:sz w:val="21"/>
          <w:szCs w:val="21"/>
          <w:i w:val="1"/>
          <w:iCs w:val="1"/>
          <w:color w:val="auto"/>
        </w:rPr>
        <w:t>e.g.</w:t>
      </w:r>
      <w:r>
        <w:rPr>
          <w:rFonts w:ascii="Arial" w:cs="Arial" w:eastAsia="Arial" w:hAnsi="Arial"/>
          <w:sz w:val="21"/>
          <w:szCs w:val="21"/>
          <w:color w:val="auto"/>
        </w:rPr>
        <w:t>, a “Eurocurrency Loan” or a “Eurocurrency Borrowing”).</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Terms Generally</w:t>
      </w:r>
      <w:r>
        <w:rPr>
          <w:rFonts w:ascii="Arial" w:cs="Arial" w:eastAsia="Arial" w:hAnsi="Arial"/>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or except as expressly provided herein,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in the Loan Documents), (b) any definition of or reference to any statute, rule or regulation shall be construed as referring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7" w:right="339" w:bottom="1440" w:gutter="0" w:footer="0" w:header="0"/>
        </w:sectPr>
      </w:pPr>
    </w:p>
    <w:bookmarkStart w:id="138" w:name="page139"/>
    <w:bookmarkEnd w:id="138"/>
    <w:p>
      <w:pPr>
        <w:jc w:val="both"/>
        <w:spacing w:after="0" w:line="292" w:lineRule="auto"/>
        <w:rPr>
          <w:sz w:val="20"/>
          <w:szCs w:val="20"/>
          <w:color w:val="auto"/>
        </w:rPr>
      </w:pPr>
      <w:r>
        <w:rPr>
          <w:rFonts w:ascii="Arial" w:cs="Arial" w:eastAsia="Arial" w:hAnsi="Arial"/>
          <w:sz w:val="19"/>
          <w:szCs w:val="19"/>
          <w:color w:val="auto"/>
        </w:rPr>
        <w:t>as from time to time amended, supplemented or otherwise modified (including by succession of comparable successor laws), unless otherwise expressly stated to the contrary, (c) any reference herein to any Person shall be construed to include such Person’s successors and assigns,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5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 Company notifies the Administrative Agent that it requests an amendment to any provision (including any definition) hereof to eliminate the effect of any change occurring after the Effective Date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(ii)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The Fair Value Option for Financial Assets and Financial Liabilities, or any successor thereto (including pursuant to Accounting Standard Codifications), to value any Indebtedness of the Company or any Subsidiary at “fair value,” as defined therein and (iii) notwithstanding any change in GAAP after the Effective Date which would have the effect of treating any lease properly accounted for as an operating lease prior to such accounting change as a capital lease after giving effect to any such accounting change, for all purposes of calculating Indebtedness for any purpose under this Agreement, the Loan Parties shall continue to make such determinations and calculations with respect to all leases (whether then in existence or thereafter entered into) in accordance with GAAP (as it relates to such issue) as in effect prior to such change and consistent with their past practices.</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Pro Forma Calculations</w:t>
      </w:r>
      <w:r>
        <w:rPr>
          <w:rFonts w:ascii="Arial" w:cs="Arial" w:eastAsia="Arial" w:hAnsi="Arial"/>
          <w:sz w:val="19"/>
          <w:szCs w:val="19"/>
          <w:color w:val="auto"/>
        </w:rPr>
        <w:t xml:space="preserve">. With respect to any period during which (a) any acquisition permitted by this Agreement or (b) any sale, transfer or other disposition of (i) any Equity Interests in a Subsidiary or (ii) all or substantially all the assets of a Subsidiary or division or line of business of a Subsidiary outside the ordinary course of business, occurs, for purposes of determining compliance with the covenants contained in </w:t>
      </w:r>
      <w:r>
        <w:rPr>
          <w:rFonts w:ascii="Arial" w:cs="Arial" w:eastAsia="Arial" w:hAnsi="Arial"/>
          <w:sz w:val="19"/>
          <w:szCs w:val="19"/>
          <w:u w:val="single" w:color="auto"/>
          <w:color w:val="auto"/>
        </w:rPr>
        <w:t>Sections 6.04(t)</w:t>
      </w:r>
      <w:r>
        <w:rPr>
          <w:rFonts w:ascii="Arial" w:cs="Arial" w:eastAsia="Arial" w:hAnsi="Arial"/>
          <w:sz w:val="19"/>
          <w:szCs w:val="19"/>
          <w:color w:val="auto"/>
        </w:rPr>
        <w:t xml:space="preserve">, </w:t>
      </w:r>
      <w:r>
        <w:rPr>
          <w:rFonts w:ascii="Arial" w:cs="Arial" w:eastAsia="Arial" w:hAnsi="Arial"/>
          <w:sz w:val="19"/>
          <w:szCs w:val="19"/>
          <w:u w:val="single" w:color="auto"/>
          <w:color w:val="auto"/>
        </w:rPr>
        <w:t>6.08(a)(vi)</w:t>
      </w:r>
      <w:r>
        <w:rPr>
          <w:rFonts w:ascii="Arial" w:cs="Arial" w:eastAsia="Arial" w:hAnsi="Arial"/>
          <w:sz w:val="19"/>
          <w:szCs w:val="19"/>
          <w:color w:val="auto"/>
        </w:rPr>
        <w:t xml:space="preserve">, </w:t>
      </w:r>
      <w:r>
        <w:rPr>
          <w:rFonts w:ascii="Arial" w:cs="Arial" w:eastAsia="Arial" w:hAnsi="Arial"/>
          <w:sz w:val="19"/>
          <w:szCs w:val="19"/>
          <w:u w:val="single" w:color="auto"/>
          <w:color w:val="auto"/>
        </w:rPr>
        <w:t>6.12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6.14</w:t>
      </w:r>
      <w:r>
        <w:rPr>
          <w:rFonts w:ascii="Arial" w:cs="Arial" w:eastAsia="Arial" w:hAnsi="Arial"/>
          <w:sz w:val="19"/>
          <w:szCs w:val="19"/>
          <w:color w:val="auto"/>
        </w:rPr>
        <w:t xml:space="preserve"> or otherwise for purposes of determining the Total Leverage Ratio, Consolidated Interest Expense, First Lien Leverage Ratio, Consolidated Total Assets and Consolidated EBITDA, calculations with respect to such period shall be made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7" w:right="339" w:bottom="1440" w:gutter="0" w:footer="0" w:header="0"/>
        </w:sectPr>
      </w:pPr>
    </w:p>
    <w:bookmarkStart w:id="139" w:name="page140"/>
    <w:bookmarkEnd w:id="139"/>
    <w:p>
      <w:pPr>
        <w:ind w:left="660"/>
        <w:spacing w:after="0"/>
        <w:tabs>
          <w:tab w:leader="none" w:pos="224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u w:val="single" w:color="auto"/>
          <w:color w:val="auto"/>
        </w:rPr>
        <w:t>Exchange Rates; Currency Equivalents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92" w:lineRule="auto"/>
        <w:tabs>
          <w:tab w:leader="none" w:pos="1163"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Not later than 1:00 p.m., New York time, on each Revaluation Date, the Administrative Agent shall (x) determine the Exchange Rate as of such Revaluation Date with respect to each applicable Alternative Currency and (y) give notice thereof to each applicable Issuing Bank and the Company. The Exchange Rates so determined shall become effective (i) in the case of the initial Revaluation Date, on the Effective Date and (ii) in the case of each subsequent Revaluation Date, on the first Business Day immediately following such Revaluation Date (a “</w:t>
      </w:r>
      <w:r>
        <w:rPr>
          <w:rFonts w:ascii="Arial" w:cs="Arial" w:eastAsia="Arial" w:hAnsi="Arial"/>
          <w:sz w:val="19"/>
          <w:szCs w:val="19"/>
          <w:u w:val="single" w:color="auto"/>
          <w:color w:val="auto"/>
        </w:rPr>
        <w:t>Reset Date</w:t>
      </w:r>
      <w:r>
        <w:rPr>
          <w:rFonts w:ascii="Arial" w:cs="Arial" w:eastAsia="Arial" w:hAnsi="Arial"/>
          <w:sz w:val="19"/>
          <w:szCs w:val="19"/>
          <w:color w:val="auto"/>
        </w:rPr>
        <w:t>”), shall remain effective until the next succeeding Reset Date, and shall for all purposes of this Agreement (other than any provision expressly requiring the use of a current exchange rate) be the Exchange Rates employed in converting any amounts between dollars and any Alternative Currency.</w:t>
      </w:r>
    </w:p>
    <w:p>
      <w:pPr>
        <w:spacing w:after="0" w:line="150" w:lineRule="exact"/>
        <w:rPr>
          <w:rFonts w:ascii="Arial" w:cs="Arial" w:eastAsia="Arial" w:hAnsi="Arial"/>
          <w:sz w:val="19"/>
          <w:szCs w:val="19"/>
          <w:color w:val="auto"/>
        </w:rPr>
      </w:pPr>
    </w:p>
    <w:p>
      <w:pPr>
        <w:jc w:val="both"/>
        <w:ind w:firstLine="656"/>
        <w:spacing w:after="0" w:line="257" w:lineRule="auto"/>
        <w:tabs>
          <w:tab w:leader="none" w:pos="1129"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Solely for purposes of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related definitional provisions to the extent used therein, the applicable amount of any currency (other than dollars) for purposes of the Loan Documents shall be such Dollar Equivalent amount as determined by the Administrative Agent and notified to the applicable Issuing Bank and the Company in accordance with </w:t>
      </w:r>
      <w:r>
        <w:rPr>
          <w:rFonts w:ascii="Arial" w:cs="Arial" w:eastAsia="Arial" w:hAnsi="Arial"/>
          <w:sz w:val="21"/>
          <w:szCs w:val="21"/>
          <w:u w:val="single" w:color="auto"/>
          <w:color w:val="auto"/>
        </w:rPr>
        <w:t>Section 1.06(a)</w:t>
      </w:r>
      <w:r>
        <w:rPr>
          <w:rFonts w:ascii="Arial" w:cs="Arial" w:eastAsia="Arial" w:hAnsi="Arial"/>
          <w:sz w:val="21"/>
          <w:szCs w:val="21"/>
          <w:color w:val="auto"/>
        </w:rPr>
        <w:t>. If any basket is exceeded solely as a result of fluctuations in the applicable Exchange Rate after the last time such basket was utilized, such basket will not be deemed to have been exceeded solely as a result of such fluctuations in the applicable Exchange Rate. Amounts denominated in an Alternative Currency will be converted to dollars for the purposes of (A) testing the Financial Covenants, at the Exchange Rate as of the last day of the fiscal quarter for which such measurement is being made, and (B) calculating the Interest Coverage Ratio and the Total Leverage Ratio (other than for purposes of determining compliance with the Financial Covenants), at the Exchange Rate as of the date of calculation, and will, in the case of Indebtedness, reflect the currency translation effects, determined in accordance with GAAP, of Hedging Agreements permitted hereunder for currency exchange risks with respect to the applicable currency in effect on the date of determination of the Dollar Equivalent of such Indebtedness.</w:t>
      </w:r>
    </w:p>
    <w:p>
      <w:pPr>
        <w:spacing w:after="0" w:line="190" w:lineRule="exact"/>
        <w:rPr>
          <w:rFonts w:ascii="Arial" w:cs="Arial" w:eastAsia="Arial" w:hAnsi="Arial"/>
          <w:sz w:val="21"/>
          <w:szCs w:val="21"/>
          <w:color w:val="auto"/>
        </w:rPr>
      </w:pPr>
    </w:p>
    <w:p>
      <w:pPr>
        <w:jc w:val="both"/>
        <w:ind w:firstLine="656"/>
        <w:spacing w:after="0" w:line="289" w:lineRule="auto"/>
        <w:tabs>
          <w:tab w:leader="none" w:pos="1135"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the amount of any Indebtedness denominated in any currency other than dollars shall be calculated based on the applicable Exchange Rate, in the case of such Indebtedness incurred or committed, on the date that such Indebtedness was incurred or committed,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Indebtedness is incurred to refinance other Indebtedness denominated in a currency other than dollars, and such refinancing would cause the applicable dollar-denominated restriction to be exceeded if calculated at the applicable Exchange Rate on the date of such refinancing, such dollar-denominated restrictions shall be deemed not to have been exceeded so long as the principal amount of such Refinancing Indebtedness does not exceed the sum of (i) the outstanding or committed principal amount, as applicable, of such Indebtedness being refinanced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aggregate amount of fees, underwriting discounts, premiums and other costs and expenses incurred in connection with such refinancing.</w:t>
      </w:r>
    </w:p>
    <w:p>
      <w:pPr>
        <w:spacing w:after="0" w:line="156" w:lineRule="exact"/>
        <w:rPr>
          <w:rFonts w:ascii="Arial" w:cs="Arial" w:eastAsia="Arial" w:hAnsi="Arial"/>
          <w:sz w:val="19"/>
          <w:szCs w:val="19"/>
          <w:color w:val="auto"/>
        </w:rPr>
      </w:pPr>
    </w:p>
    <w:p>
      <w:pPr>
        <w:jc w:val="both"/>
        <w:ind w:firstLine="656"/>
        <w:spacing w:after="0" w:line="253" w:lineRule="auto"/>
        <w:tabs>
          <w:tab w:leader="none" w:pos="1139"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Sections 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6.04</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6.08</w:t>
      </w:r>
      <w:r>
        <w:rPr>
          <w:rFonts w:ascii="Arial" w:cs="Arial" w:eastAsia="Arial" w:hAnsi="Arial"/>
          <w:sz w:val="22"/>
          <w:szCs w:val="22"/>
          <w:color w:val="auto"/>
        </w:rPr>
        <w:t>, the amount of any Liens, investments, asset sales and Restricted Payments, as applicable, denominated in any currency other than dollars shall be calculated based on the applicable Exchange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7" w:right="339" w:bottom="1440" w:gutter="0" w:footer="0" w:header="0"/>
        </w:sectPr>
      </w:pPr>
    </w:p>
    <w:bookmarkStart w:id="140" w:name="page141"/>
    <w:bookmarkEnd w:id="140"/>
    <w:p>
      <w:pPr>
        <w:jc w:val="both"/>
        <w:ind w:firstLine="648"/>
        <w:spacing w:after="0" w:line="247"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Interest Rates; LIBOR Notification</w:t>
      </w:r>
      <w:r>
        <w:rPr>
          <w:rFonts w:ascii="Arial" w:cs="Arial" w:eastAsia="Arial" w:hAnsi="Arial"/>
          <w:sz w:val="19"/>
          <w:szCs w:val="19"/>
          <w:color w:val="auto"/>
        </w:rPr>
        <w:t>. The interest rate on a Loan denominated in dollars or an Alternative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9"/>
          <w:szCs w:val="19"/>
          <w:u w:val="single" w:color="auto"/>
          <w:color w:val="auto"/>
        </w:rPr>
        <w:t>IBA</w:t>
      </w:r>
      <w:r>
        <w:rPr>
          <w:rFonts w:ascii="Arial" w:cs="Arial" w:eastAsia="Arial" w:hAnsi="Arial"/>
          <w:sz w:val="19"/>
          <w:szCs w:val="19"/>
          <w:color w:val="auto"/>
        </w:rPr>
        <w:t xml:space="preserve">”)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 reference rates to be used in place of the London interbank offered rate. Upon the occurrence of a Benchmark Transition Event, a Term SOFR Transition Event, a Term ESTR Transition Event or an Early Opt-In Election, </w:t>
      </w:r>
      <w:r>
        <w:rPr>
          <w:rFonts w:ascii="Arial" w:cs="Arial" w:eastAsia="Arial" w:hAnsi="Arial"/>
          <w:sz w:val="19"/>
          <w:szCs w:val="19"/>
          <w:u w:val="single" w:color="auto"/>
          <w:color w:val="auto"/>
        </w:rPr>
        <w:t>Sections 2.14(b)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2.14(c)</w:t>
      </w:r>
      <w:r>
        <w:rPr>
          <w:rFonts w:ascii="Arial" w:cs="Arial" w:eastAsia="Arial" w:hAnsi="Arial"/>
          <w:sz w:val="19"/>
          <w:szCs w:val="19"/>
          <w:color w:val="auto"/>
        </w:rPr>
        <w:t xml:space="preserve"> provide a mechanism for determining an alternative rate of interest. The Administrative Agent will promptly notify the Company, pursuant to </w:t>
      </w:r>
      <w:r>
        <w:rPr>
          <w:rFonts w:ascii="Arial" w:cs="Arial" w:eastAsia="Arial" w:hAnsi="Arial"/>
          <w:sz w:val="19"/>
          <w:szCs w:val="19"/>
          <w:u w:val="single" w:color="auto"/>
          <w:color w:val="auto"/>
        </w:rPr>
        <w:t>Section 2.14(e)</w:t>
      </w:r>
      <w:r>
        <w:rPr>
          <w:rFonts w:ascii="Arial" w:cs="Arial" w:eastAsia="Arial" w:hAnsi="Arial"/>
          <w:sz w:val="19"/>
          <w:szCs w:val="19"/>
          <w:color w:val="auto"/>
        </w:rPr>
        <w:t xml:space="preserv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“EURIBOR Rate”, as applicable) or with respect to any alternative or successor rate thereto, or replacement rate thereof (including, without limitation, (i) any such alternative, successor or replacement rate implemented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2.14(c)</w:t>
      </w:r>
      <w:r>
        <w:rPr>
          <w:rFonts w:ascii="Arial" w:cs="Arial" w:eastAsia="Arial" w:hAnsi="Arial"/>
          <w:sz w:val="19"/>
          <w:szCs w:val="19"/>
          <w:color w:val="auto"/>
        </w:rPr>
        <w:t xml:space="preserve">, whether upon the occurrence of a Benchmark Transition Event, a Term SOFR Transition Event, a Term ESTR Transition Event or an Early Opt-In Election and (ii) the implementation of any Benchmark Replacement Conforming Changes pursuant to </w:t>
      </w:r>
      <w:r>
        <w:rPr>
          <w:rFonts w:ascii="Arial" w:cs="Arial" w:eastAsia="Arial" w:hAnsi="Arial"/>
          <w:sz w:val="19"/>
          <w:szCs w:val="19"/>
          <w:u w:val="single" w:color="auto"/>
          <w:color w:val="auto"/>
        </w:rPr>
        <w:t>Section 2.14(d)</w:t>
      </w:r>
      <w:r>
        <w:rPr>
          <w:rFonts w:ascii="Arial" w:cs="Arial" w:eastAsia="Arial" w:hAnsi="Arial"/>
          <w:sz w:val="19"/>
          <w:szCs w:val="19"/>
          <w:color w:val="auto"/>
        </w:rPr>
        <w:t>), including without limitation, whether the composition or characteristics of any such alternative, successor or replacement reference rate will be similar to, or produce the same value or economic equivalence of, the LIBO Rate (or the EURIBOR Rate, as applicable) or have the same volume or liquidity as did the London interbank offered rate (or the euro interbank offered rate, as applicable) prior to its discontinuance or unavailability.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7" w:right="339" w:bottom="1440" w:gutter="0" w:footer="0" w:header="0"/>
        </w:sectPr>
      </w:pPr>
    </w:p>
    <w:bookmarkStart w:id="141" w:name="page142"/>
    <w:bookmarkEnd w:id="141"/>
    <w:p>
      <w:pPr>
        <w:ind w:left="660"/>
        <w:spacing w:after="0"/>
        <w:tabs>
          <w:tab w:leader="none" w:pos="224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Dutch Terms</w:t>
      </w:r>
      <w:r>
        <w:rPr>
          <w:rFonts w:ascii="Arial" w:cs="Arial" w:eastAsia="Arial" w:hAnsi="Arial"/>
          <w:sz w:val="19"/>
          <w:szCs w:val="19"/>
          <w:color w:val="auto"/>
        </w:rPr>
        <w:t>. In this Agreement where it relates to a Dutch person or entity, a reference to:</w:t>
      </w:r>
    </w:p>
    <w:p>
      <w:pPr>
        <w:spacing w:after="0" w:line="220" w:lineRule="exact"/>
        <w:rPr>
          <w:sz w:val="20"/>
          <w:szCs w:val="20"/>
          <w:color w:val="auto"/>
        </w:rPr>
      </w:pPr>
    </w:p>
    <w:p>
      <w:pPr>
        <w:ind w:left="1220" w:hanging="564"/>
        <w:spacing w:after="0"/>
        <w:tabs>
          <w:tab w:leader="none" w:pos="12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The Netherlands</w:t>
      </w:r>
      <w:r>
        <w:rPr>
          <w:rFonts w:ascii="Arial" w:cs="Arial" w:eastAsia="Arial" w:hAnsi="Arial"/>
          <w:sz w:val="19"/>
          <w:szCs w:val="19"/>
          <w:color w:val="auto"/>
        </w:rPr>
        <w:t>” means the European part of the Kingdom of the Netherlands and Dutch means in or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Netherlands;</w:t>
      </w:r>
    </w:p>
    <w:p>
      <w:pPr>
        <w:spacing w:after="0" w:line="201" w:lineRule="exact"/>
        <w:rPr>
          <w:rFonts w:ascii="Arial" w:cs="Arial" w:eastAsia="Arial" w:hAnsi="Arial"/>
          <w:sz w:val="19"/>
          <w:szCs w:val="19"/>
          <w:color w:val="auto"/>
        </w:rPr>
      </w:pPr>
    </w:p>
    <w:p>
      <w:pPr>
        <w:ind w:left="1120" w:hanging="464"/>
        <w:spacing w:after="0"/>
        <w:tabs>
          <w:tab w:leader="none" w:pos="11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u w:val="single" w:color="auto"/>
          <w:color w:val="auto"/>
        </w:rPr>
        <w:t>administrator</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bewindvoerder</w:t>
      </w:r>
      <w:r>
        <w:rPr>
          <w:rFonts w:ascii="Arial" w:cs="Arial" w:eastAsia="Arial" w:hAnsi="Arial"/>
          <w:sz w:val="22"/>
          <w:szCs w:val="22"/>
          <w:color w:val="auto"/>
        </w:rPr>
        <w:t xml:space="preserve"> and a </w:t>
      </w:r>
      <w:r>
        <w:rPr>
          <w:rFonts w:ascii="Arial" w:cs="Arial" w:eastAsia="Arial" w:hAnsi="Arial"/>
          <w:sz w:val="22"/>
          <w:szCs w:val="22"/>
          <w:i w:val="1"/>
          <w:iCs w:val="1"/>
          <w:color w:val="auto"/>
        </w:rPr>
        <w:t>beoogd bewindvoerder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receiver</w:t>
      </w:r>
      <w:r>
        <w:rPr>
          <w:rFonts w:ascii="Arial" w:cs="Arial" w:eastAsia="Arial" w:hAnsi="Arial"/>
          <w:sz w:val="22"/>
          <w:szCs w:val="22"/>
          <w:color w:val="auto"/>
        </w:rPr>
        <w:t>” or an “</w:t>
      </w:r>
      <w:r>
        <w:rPr>
          <w:rFonts w:ascii="Arial" w:cs="Arial" w:eastAsia="Arial" w:hAnsi="Arial"/>
          <w:sz w:val="22"/>
          <w:szCs w:val="22"/>
          <w:u w:val="single" w:color="auto"/>
          <w:color w:val="auto"/>
        </w:rPr>
        <w:t>administrative receiver</w:t>
      </w:r>
      <w:r>
        <w:rPr>
          <w:rFonts w:ascii="Arial" w:cs="Arial" w:eastAsia="Arial" w:hAnsi="Arial"/>
          <w:sz w:val="22"/>
          <w:szCs w:val="22"/>
          <w:color w:val="auto"/>
        </w:rPr>
        <w:t xml:space="preserve">” does not include a </w:t>
      </w:r>
      <w:r>
        <w:rPr>
          <w:rFonts w:ascii="Arial" w:cs="Arial" w:eastAsia="Arial" w:hAnsi="Arial"/>
          <w:sz w:val="22"/>
          <w:szCs w:val="22"/>
          <w:i w:val="1"/>
          <w:iCs w:val="1"/>
          <w:color w:val="auto"/>
        </w:rPr>
        <w:t>curator</w:t>
      </w:r>
      <w:r>
        <w:rPr>
          <w:rFonts w:ascii="Arial" w:cs="Arial" w:eastAsia="Arial" w:hAnsi="Arial"/>
          <w:sz w:val="22"/>
          <w:szCs w:val="22"/>
          <w:color w:val="auto"/>
        </w:rPr>
        <w:t xml:space="preserve"> or </w:t>
      </w:r>
      <w:r>
        <w:rPr>
          <w:rFonts w:ascii="Arial" w:cs="Arial" w:eastAsia="Arial" w:hAnsi="Arial"/>
          <w:sz w:val="22"/>
          <w:szCs w:val="22"/>
          <w:i w:val="1"/>
          <w:iCs w:val="1"/>
          <w:color w:val="auto"/>
        </w:rPr>
        <w:t>bewindvoerder</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u w:val="single" w:color="auto"/>
          <w:color w:val="auto"/>
        </w:rPr>
        <w:t>attachment</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beslag</w:t>
      </w:r>
      <w:r>
        <w:rPr>
          <w:rFonts w:ascii="Arial" w:cs="Arial" w:eastAsia="Arial" w:hAnsi="Arial"/>
          <w:sz w:val="22"/>
          <w:szCs w:val="22"/>
          <w:color w:val="auto"/>
        </w:rPr>
        <w:t xml:space="preserve"> and a “</w:t>
      </w:r>
      <w:r>
        <w:rPr>
          <w:rFonts w:ascii="Arial" w:cs="Arial" w:eastAsia="Arial" w:hAnsi="Arial"/>
          <w:sz w:val="22"/>
          <w:szCs w:val="22"/>
          <w:u w:val="single" w:color="auto"/>
          <w:color w:val="auto"/>
        </w:rPr>
        <w:t>prejudicial attachment</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conservatoir beslag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negligence</w:t>
      </w:r>
      <w:r>
        <w:rPr>
          <w:rFonts w:ascii="Arial" w:cs="Arial" w:eastAsia="Arial" w:hAnsi="Arial"/>
          <w:sz w:val="22"/>
          <w:szCs w:val="22"/>
          <w:color w:val="auto"/>
        </w:rPr>
        <w:t xml:space="preserve">” means, where Dutch law is applicable, </w:t>
      </w:r>
      <w:r>
        <w:rPr>
          <w:rFonts w:ascii="Arial" w:cs="Arial" w:eastAsia="Arial" w:hAnsi="Arial"/>
          <w:sz w:val="22"/>
          <w:szCs w:val="22"/>
          <w:i w:val="1"/>
          <w:iCs w:val="1"/>
          <w:color w:val="auto"/>
        </w:rPr>
        <w:t>grove schuld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moratorium</w:t>
      </w:r>
      <w:r>
        <w:rPr>
          <w:rFonts w:ascii="Arial" w:cs="Arial" w:eastAsia="Arial" w:hAnsi="Arial"/>
          <w:sz w:val="22"/>
          <w:szCs w:val="22"/>
          <w:color w:val="auto"/>
        </w:rPr>
        <w:t xml:space="preserve"> includes </w:t>
      </w:r>
      <w:r>
        <w:rPr>
          <w:rFonts w:ascii="Arial" w:cs="Arial" w:eastAsia="Arial" w:hAnsi="Arial"/>
          <w:sz w:val="22"/>
          <w:szCs w:val="22"/>
          <w:i w:val="1"/>
          <w:iCs w:val="1"/>
          <w:color w:val="auto"/>
        </w:rPr>
        <w:t>surseance van betaling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granted a moratorium</w:t>
      </w:r>
      <w:r>
        <w:rPr>
          <w:rFonts w:ascii="Arial" w:cs="Arial" w:eastAsia="Arial" w:hAnsi="Arial"/>
          <w:sz w:val="22"/>
          <w:szCs w:val="22"/>
          <w:color w:val="auto"/>
        </w:rPr>
        <w:t xml:space="preserve"> includes </w:t>
      </w:r>
      <w:r>
        <w:rPr>
          <w:rFonts w:ascii="Arial" w:cs="Arial" w:eastAsia="Arial" w:hAnsi="Arial"/>
          <w:sz w:val="22"/>
          <w:szCs w:val="22"/>
          <w:i w:val="1"/>
          <w:iCs w:val="1"/>
          <w:color w:val="auto"/>
        </w:rPr>
        <w:t>surseance verleend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includes a bankruptcy and moratorium;</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negligence</w:t>
      </w:r>
      <w:r>
        <w:rPr>
          <w:rFonts w:ascii="Arial" w:cs="Arial" w:eastAsia="Arial" w:hAnsi="Arial"/>
          <w:sz w:val="22"/>
          <w:szCs w:val="22"/>
          <w:color w:val="auto"/>
        </w:rPr>
        <w:t xml:space="preserve">” means, where Dutch law is applicable, </w:t>
      </w:r>
      <w:r>
        <w:rPr>
          <w:rFonts w:ascii="Arial" w:cs="Arial" w:eastAsia="Arial" w:hAnsi="Arial"/>
          <w:sz w:val="22"/>
          <w:szCs w:val="22"/>
          <w:i w:val="1"/>
          <w:iCs w:val="1"/>
          <w:color w:val="auto"/>
        </w:rPr>
        <w:t>schuld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217"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authorization by all necessary corporate or other organizational action, where applicable, includes without limitation (i) any action required to comply with the Dutch Works Council Act (</w:t>
      </w:r>
      <w:r>
        <w:rPr>
          <w:rFonts w:ascii="Arial" w:cs="Arial" w:eastAsia="Arial" w:hAnsi="Arial"/>
          <w:sz w:val="22"/>
          <w:szCs w:val="22"/>
          <w:i w:val="1"/>
          <w:iCs w:val="1"/>
          <w:color w:val="auto"/>
        </w:rPr>
        <w:t>Wet op de ondernemingsraden</w:t>
      </w:r>
      <w:r>
        <w:rPr>
          <w:rFonts w:ascii="Arial" w:cs="Arial" w:eastAsia="Arial" w:hAnsi="Arial"/>
          <w:sz w:val="22"/>
          <w:szCs w:val="22"/>
          <w:color w:val="auto"/>
        </w:rPr>
        <w:t>) or (ii) obtaining an advice (</w:t>
      </w:r>
      <w:r>
        <w:rPr>
          <w:rFonts w:ascii="Arial" w:cs="Arial" w:eastAsia="Arial" w:hAnsi="Arial"/>
          <w:sz w:val="22"/>
          <w:szCs w:val="22"/>
          <w:i w:val="1"/>
          <w:iCs w:val="1"/>
          <w:color w:val="auto"/>
        </w:rPr>
        <w:t>advies</w:t>
      </w:r>
      <w:r>
        <w:rPr>
          <w:rFonts w:ascii="Arial" w:cs="Arial" w:eastAsia="Arial" w:hAnsi="Arial"/>
          <w:sz w:val="22"/>
          <w:szCs w:val="22"/>
          <w:color w:val="auto"/>
        </w:rPr>
        <w:t>) from each competent works council according to which the entrepreneur (</w:t>
      </w:r>
      <w:r>
        <w:rPr>
          <w:rFonts w:ascii="Arial" w:cs="Arial" w:eastAsia="Arial" w:hAnsi="Arial"/>
          <w:sz w:val="22"/>
          <w:szCs w:val="22"/>
          <w:i w:val="1"/>
          <w:iCs w:val="1"/>
          <w:color w:val="auto"/>
        </w:rPr>
        <w:t>ondernemer</w:t>
      </w:r>
      <w:r>
        <w:rPr>
          <w:rFonts w:ascii="Arial" w:cs="Arial" w:eastAsia="Arial" w:hAnsi="Arial"/>
          <w:sz w:val="22"/>
          <w:szCs w:val="22"/>
          <w:color w:val="auto"/>
        </w:rPr>
        <w:t>) can pursue with the transactions contemplated;</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08"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subsidiary</w:t>
      </w:r>
      <w:r>
        <w:rPr>
          <w:rFonts w:ascii="Arial" w:cs="Arial" w:eastAsia="Arial" w:hAnsi="Arial"/>
          <w:sz w:val="22"/>
          <w:szCs w:val="22"/>
          <w:color w:val="auto"/>
        </w:rPr>
        <w:t>” includes a ‘</w:t>
      </w:r>
      <w:r>
        <w:rPr>
          <w:rFonts w:ascii="Arial" w:cs="Arial" w:eastAsia="Arial" w:hAnsi="Arial"/>
          <w:sz w:val="22"/>
          <w:szCs w:val="22"/>
          <w:i w:val="1"/>
          <w:iCs w:val="1"/>
          <w:color w:val="auto"/>
        </w:rPr>
        <w:t>dochtermaatschappij</w:t>
      </w:r>
      <w:r>
        <w:rPr>
          <w:rFonts w:ascii="Arial" w:cs="Arial" w:eastAsia="Arial" w:hAnsi="Arial"/>
          <w:sz w:val="22"/>
          <w:szCs w:val="22"/>
          <w:color w:val="auto"/>
        </w:rPr>
        <w:t>’ within the meaning of section 2:24a of the Dutch Civil Code (</w:t>
      </w:r>
      <w:r>
        <w:rPr>
          <w:rFonts w:ascii="Arial" w:cs="Arial" w:eastAsia="Arial" w:hAnsi="Arial"/>
          <w:sz w:val="22"/>
          <w:szCs w:val="22"/>
          <w:i w:val="1"/>
          <w:iCs w:val="1"/>
          <w:color w:val="auto"/>
        </w:rPr>
        <w:t>Burgerlijk Wetboek</w:t>
      </w:r>
      <w:r>
        <w:rPr>
          <w:rFonts w:ascii="Arial" w:cs="Arial" w:eastAsia="Arial" w:hAnsi="Arial"/>
          <w:sz w:val="22"/>
          <w:szCs w:val="22"/>
          <w:color w:val="auto"/>
        </w:rPr>
        <w:t>) (regardless of whether the shares or voting rights in the shares in such company are held directly or indirectly through another ‘</w:t>
      </w:r>
      <w:r>
        <w:rPr>
          <w:rFonts w:ascii="Arial" w:cs="Arial" w:eastAsia="Arial" w:hAnsi="Arial"/>
          <w:sz w:val="22"/>
          <w:szCs w:val="22"/>
          <w:i w:val="1"/>
          <w:iCs w:val="1"/>
          <w:color w:val="auto"/>
        </w:rPr>
        <w:t>dochtermaatschappij’</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312" w:lineRule="auto"/>
        <w:tabs>
          <w:tab w:leader="none" w:pos="1343"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security interest</w:t>
      </w:r>
      <w:r>
        <w:rPr>
          <w:rFonts w:ascii="Arial" w:cs="Arial" w:eastAsia="Arial" w:hAnsi="Arial"/>
          <w:sz w:val="19"/>
          <w:szCs w:val="19"/>
          <w:color w:val="auto"/>
        </w:rPr>
        <w:t>” includes any mortgage (</w:t>
      </w:r>
      <w:r>
        <w:rPr>
          <w:rFonts w:ascii="Arial" w:cs="Arial" w:eastAsia="Arial" w:hAnsi="Arial"/>
          <w:sz w:val="19"/>
          <w:szCs w:val="19"/>
          <w:i w:val="1"/>
          <w:iCs w:val="1"/>
          <w:color w:val="auto"/>
        </w:rPr>
        <w:t>hypotheek</w:t>
      </w:r>
      <w:r>
        <w:rPr>
          <w:rFonts w:ascii="Arial" w:cs="Arial" w:eastAsia="Arial" w:hAnsi="Arial"/>
          <w:sz w:val="19"/>
          <w:szCs w:val="19"/>
          <w:color w:val="auto"/>
        </w:rPr>
        <w:t>), pledge (</w:t>
      </w:r>
      <w:r>
        <w:rPr>
          <w:rFonts w:ascii="Arial" w:cs="Arial" w:eastAsia="Arial" w:hAnsi="Arial"/>
          <w:sz w:val="19"/>
          <w:szCs w:val="19"/>
          <w:i w:val="1"/>
          <w:iCs w:val="1"/>
          <w:color w:val="auto"/>
        </w:rPr>
        <w:t>pandrecht</w:t>
      </w:r>
      <w:r>
        <w:rPr>
          <w:rFonts w:ascii="Arial" w:cs="Arial" w:eastAsia="Arial" w:hAnsi="Arial"/>
          <w:sz w:val="19"/>
          <w:szCs w:val="19"/>
          <w:color w:val="auto"/>
        </w:rPr>
        <w:t>), retention of title arrangement (</w:t>
      </w:r>
      <w:r>
        <w:rPr>
          <w:rFonts w:ascii="Arial" w:cs="Arial" w:eastAsia="Arial" w:hAnsi="Arial"/>
          <w:sz w:val="19"/>
          <w:szCs w:val="19"/>
          <w:i w:val="1"/>
          <w:iCs w:val="1"/>
          <w:color w:val="auto"/>
        </w:rPr>
        <w:t>eigendomsvoorbehoud</w:t>
      </w:r>
      <w:r>
        <w:rPr>
          <w:rFonts w:ascii="Arial" w:cs="Arial" w:eastAsia="Arial" w:hAnsi="Arial"/>
          <w:sz w:val="19"/>
          <w:szCs w:val="19"/>
          <w:color w:val="auto"/>
        </w:rPr>
        <w:t>), privilege (</w:t>
      </w:r>
      <w:r>
        <w:rPr>
          <w:rFonts w:ascii="Arial" w:cs="Arial" w:eastAsia="Arial" w:hAnsi="Arial"/>
          <w:sz w:val="19"/>
          <w:szCs w:val="19"/>
          <w:i w:val="1"/>
          <w:iCs w:val="1"/>
          <w:color w:val="auto"/>
        </w:rPr>
        <w:t>voorrecht</w:t>
      </w:r>
      <w:r>
        <w:rPr>
          <w:rFonts w:ascii="Arial" w:cs="Arial" w:eastAsia="Arial" w:hAnsi="Arial"/>
          <w:sz w:val="19"/>
          <w:szCs w:val="19"/>
          <w:color w:val="auto"/>
        </w:rPr>
        <w:t>), right of retention (</w:t>
      </w:r>
      <w:r>
        <w:rPr>
          <w:rFonts w:ascii="Arial" w:cs="Arial" w:eastAsia="Arial" w:hAnsi="Arial"/>
          <w:sz w:val="19"/>
          <w:szCs w:val="19"/>
          <w:i w:val="1"/>
          <w:iCs w:val="1"/>
          <w:color w:val="auto"/>
        </w:rPr>
        <w:t>recht van retentie</w:t>
      </w:r>
      <w:r>
        <w:rPr>
          <w:rFonts w:ascii="Arial" w:cs="Arial" w:eastAsia="Arial" w:hAnsi="Arial"/>
          <w:sz w:val="19"/>
          <w:szCs w:val="19"/>
          <w:color w:val="auto"/>
        </w:rPr>
        <w:t>), right to reclaim goods (</w:t>
      </w:r>
      <w:r>
        <w:rPr>
          <w:rFonts w:ascii="Arial" w:cs="Arial" w:eastAsia="Arial" w:hAnsi="Arial"/>
          <w:sz w:val="19"/>
          <w:szCs w:val="19"/>
          <w:i w:val="1"/>
          <w:iCs w:val="1"/>
          <w:color w:val="auto"/>
        </w:rPr>
        <w:t>recht van reclame</w:t>
      </w:r>
      <w:r>
        <w:rPr>
          <w:rFonts w:ascii="Arial" w:cs="Arial" w:eastAsia="Arial" w:hAnsi="Arial"/>
          <w:sz w:val="19"/>
          <w:szCs w:val="19"/>
          <w:color w:val="auto"/>
        </w:rPr>
        <w:t>), and, in general, any right in rem (</w:t>
      </w:r>
      <w:r>
        <w:rPr>
          <w:rFonts w:ascii="Arial" w:cs="Arial" w:eastAsia="Arial" w:hAnsi="Arial"/>
          <w:sz w:val="19"/>
          <w:szCs w:val="19"/>
          <w:i w:val="1"/>
          <w:iCs w:val="1"/>
          <w:color w:val="auto"/>
        </w:rPr>
        <w:t>beperkt recht</w:t>
      </w:r>
      <w:r>
        <w:rPr>
          <w:rFonts w:ascii="Arial" w:cs="Arial" w:eastAsia="Arial" w:hAnsi="Arial"/>
          <w:sz w:val="19"/>
          <w:szCs w:val="19"/>
          <w:color w:val="auto"/>
        </w:rPr>
        <w:t>) created for the purpose of granting security (</w:t>
      </w:r>
      <w:r>
        <w:rPr>
          <w:rFonts w:ascii="Arial" w:cs="Arial" w:eastAsia="Arial" w:hAnsi="Arial"/>
          <w:sz w:val="19"/>
          <w:szCs w:val="19"/>
          <w:i w:val="1"/>
          <w:iCs w:val="1"/>
          <w:color w:val="auto"/>
        </w:rPr>
        <w:t>goederenrechtelijk zekerheidsrecht</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firstLine="656"/>
        <w:spacing w:after="0" w:line="297" w:lineRule="auto"/>
        <w:tabs>
          <w:tab w:leader="none" w:pos="1165"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w:t>
      </w:r>
      <w:r>
        <w:rPr>
          <w:rFonts w:ascii="Arial" w:cs="Arial" w:eastAsia="Arial" w:hAnsi="Arial"/>
          <w:sz w:val="19"/>
          <w:szCs w:val="19"/>
          <w:u w:val="single" w:color="auto"/>
          <w:color w:val="auto"/>
        </w:rPr>
        <w:t>procedure</w:t>
      </w:r>
      <w:r>
        <w:rPr>
          <w:rFonts w:ascii="Arial" w:cs="Arial" w:eastAsia="Arial" w:hAnsi="Arial"/>
          <w:sz w:val="19"/>
          <w:szCs w:val="19"/>
          <w:color w:val="auto"/>
        </w:rPr>
        <w:t>” or “</w:t>
      </w:r>
      <w:r>
        <w:rPr>
          <w:rFonts w:ascii="Arial" w:cs="Arial" w:eastAsia="Arial" w:hAnsi="Arial"/>
          <w:sz w:val="19"/>
          <w:szCs w:val="19"/>
          <w:u w:val="single" w:color="auto"/>
          <w:color w:val="auto"/>
        </w:rPr>
        <w:t>step</w:t>
      </w:r>
      <w:r>
        <w:rPr>
          <w:rFonts w:ascii="Arial" w:cs="Arial" w:eastAsia="Arial" w:hAnsi="Arial"/>
          <w:sz w:val="19"/>
          <w:szCs w:val="19"/>
          <w:color w:val="auto"/>
        </w:rPr>
        <w:t>” taken in connection with insolvency proceedings includes a Dutch entity having filed notice under section 36 of the Netherlands Tax Collection Act 1990 (</w:t>
      </w:r>
      <w:r>
        <w:rPr>
          <w:rFonts w:ascii="Arial" w:cs="Arial" w:eastAsia="Arial" w:hAnsi="Arial"/>
          <w:sz w:val="19"/>
          <w:szCs w:val="19"/>
          <w:i w:val="1"/>
          <w:iCs w:val="1"/>
          <w:color w:val="auto"/>
        </w:rPr>
        <w:t>Invorderingswet 1990</w:t>
      </w:r>
      <w:r>
        <w:rPr>
          <w:rFonts w:ascii="Arial" w:cs="Arial" w:eastAsia="Arial" w:hAnsi="Arial"/>
          <w:sz w:val="19"/>
          <w:szCs w:val="19"/>
          <w:color w:val="auto"/>
        </w:rPr>
        <w:t>), section 60 of the Social Insurance Financing Act of the Netherlands (</w:t>
      </w:r>
      <w:r>
        <w:rPr>
          <w:rFonts w:ascii="Arial" w:cs="Arial" w:eastAsia="Arial" w:hAnsi="Arial"/>
          <w:sz w:val="19"/>
          <w:szCs w:val="19"/>
          <w:i w:val="1"/>
          <w:iCs w:val="1"/>
          <w:color w:val="auto"/>
        </w:rPr>
        <w:t>Wet Financiering Sociale Verzekeringen</w:t>
      </w:r>
      <w:r>
        <w:rPr>
          <w:rFonts w:ascii="Arial" w:cs="Arial" w:eastAsia="Arial" w:hAnsi="Arial"/>
          <w:sz w:val="19"/>
          <w:szCs w:val="19"/>
          <w:color w:val="auto"/>
        </w:rPr>
        <w:t>) in conjunction with section 36 of the Tax Collection Act of the Netherlands (</w:t>
      </w:r>
      <w:r>
        <w:rPr>
          <w:rFonts w:ascii="Arial" w:cs="Arial" w:eastAsia="Arial" w:hAnsi="Arial"/>
          <w:sz w:val="19"/>
          <w:szCs w:val="19"/>
          <w:i w:val="1"/>
          <w:iCs w:val="1"/>
          <w:color w:val="auto"/>
        </w:rPr>
        <w:t>Invorderingswet 1990</w:t>
      </w:r>
      <w:r>
        <w:rPr>
          <w:rFonts w:ascii="Arial" w:cs="Arial" w:eastAsia="Arial" w:hAnsi="Arial"/>
          <w:sz w:val="19"/>
          <w:szCs w:val="19"/>
          <w:color w:val="auto"/>
        </w:rPr>
        <w:t xml:space="preserve">) or public and/or undisclosed preventive restructuring processes within the meaning of the second part </w:t>
      </w:r>
      <w:r>
        <w:rPr>
          <w:rFonts w:ascii="Arial" w:cs="Arial" w:eastAsia="Arial" w:hAnsi="Arial"/>
          <w:sz w:val="19"/>
          <w:szCs w:val="19"/>
          <w:i w:val="1"/>
          <w:iCs w:val="1"/>
          <w:color w:val="auto"/>
        </w:rPr>
        <w:t>(Tweede afdeling</w:t>
      </w:r>
      <w:r>
        <w:rPr>
          <w:rFonts w:ascii="Arial" w:cs="Arial" w:eastAsia="Arial" w:hAnsi="Arial"/>
          <w:sz w:val="19"/>
          <w:szCs w:val="19"/>
          <w:color w:val="auto"/>
        </w:rPr>
        <w:t xml:space="preserve">) of the Dutch Bankruptcy Act </w:t>
      </w:r>
      <w:r>
        <w:rPr>
          <w:rFonts w:ascii="Arial" w:cs="Arial" w:eastAsia="Arial" w:hAnsi="Arial"/>
          <w:sz w:val="19"/>
          <w:szCs w:val="19"/>
          <w:i w:val="1"/>
          <w:iCs w:val="1"/>
          <w:color w:val="auto"/>
        </w:rPr>
        <w:t>(Failissementswet</w:t>
      </w:r>
      <w:r>
        <w:rPr>
          <w:rFonts w:ascii="Arial" w:cs="Arial" w:eastAsia="Arial" w:hAnsi="Arial"/>
          <w:sz w:val="19"/>
          <w:szCs w:val="19"/>
          <w:color w:val="auto"/>
        </w:rPr>
        <w:t>) (sections 369 et seq.)</w:t>
      </w:r>
      <w:r>
        <w:rPr>
          <w:rFonts w:ascii="Arial" w:cs="Arial" w:eastAsia="Arial" w:hAnsi="Arial"/>
          <w:sz w:val="19"/>
          <w:szCs w:val="19"/>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7" w:right="339" w:bottom="1440" w:gutter="0" w:footer="0" w:header="0"/>
        </w:sectPr>
      </w:pPr>
    </w:p>
    <w:bookmarkStart w:id="142" w:name="page143"/>
    <w:bookmarkEnd w:id="142"/>
    <w:p>
      <w:pPr>
        <w:ind w:left="1180" w:hanging="524"/>
        <w:spacing w:after="0"/>
        <w:tabs>
          <w:tab w:leader="none" w:pos="11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trustee in bankruptcy</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curator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liquidator</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curator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willful misconduct</w:t>
      </w:r>
      <w:r>
        <w:rPr>
          <w:rFonts w:ascii="Arial" w:cs="Arial" w:eastAsia="Arial" w:hAnsi="Arial"/>
          <w:sz w:val="22"/>
          <w:szCs w:val="22"/>
          <w:color w:val="auto"/>
        </w:rPr>
        <w:t xml:space="preserve">” means, where Dutch law is applicable, </w:t>
      </w:r>
      <w:r>
        <w:rPr>
          <w:rFonts w:ascii="Arial" w:cs="Arial" w:eastAsia="Arial" w:hAnsi="Arial"/>
          <w:sz w:val="22"/>
          <w:szCs w:val="22"/>
          <w:i w:val="1"/>
          <w:iCs w:val="1"/>
          <w:color w:val="auto"/>
        </w:rPr>
        <w:t>opzet</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right="20" w:firstLine="656"/>
        <w:spacing w:after="0" w:line="263" w:lineRule="auto"/>
        <w:tabs>
          <w:tab w:leader="none" w:pos="1191"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winding-up</w:t>
      </w:r>
      <w:r>
        <w:rPr>
          <w:rFonts w:ascii="Arial" w:cs="Arial" w:eastAsia="Arial" w:hAnsi="Arial"/>
          <w:sz w:val="22"/>
          <w:szCs w:val="22"/>
          <w:color w:val="auto"/>
        </w:rPr>
        <w:t>”, “</w:t>
      </w:r>
      <w:r>
        <w:rPr>
          <w:rFonts w:ascii="Arial" w:cs="Arial" w:eastAsia="Arial" w:hAnsi="Arial"/>
          <w:sz w:val="22"/>
          <w:szCs w:val="22"/>
          <w:u w:val="single" w:color="auto"/>
          <w:color w:val="auto"/>
        </w:rPr>
        <w:t>liquidation</w:t>
      </w:r>
      <w:r>
        <w:rPr>
          <w:rFonts w:ascii="Arial" w:cs="Arial" w:eastAsia="Arial" w:hAnsi="Arial"/>
          <w:sz w:val="22"/>
          <w:szCs w:val="22"/>
          <w:color w:val="auto"/>
        </w:rPr>
        <w:t>”, “</w:t>
      </w:r>
      <w:r>
        <w:rPr>
          <w:rFonts w:ascii="Arial" w:cs="Arial" w:eastAsia="Arial" w:hAnsi="Arial"/>
          <w:sz w:val="22"/>
          <w:szCs w:val="22"/>
          <w:u w:val="single" w:color="auto"/>
          <w:color w:val="auto"/>
        </w:rPr>
        <w:t>administration</w:t>
      </w:r>
      <w:r>
        <w:rPr>
          <w:rFonts w:ascii="Arial" w:cs="Arial" w:eastAsia="Arial" w:hAnsi="Arial"/>
          <w:sz w:val="22"/>
          <w:szCs w:val="22"/>
          <w:color w:val="auto"/>
        </w:rPr>
        <w:t>” or “</w:t>
      </w:r>
      <w:r>
        <w:rPr>
          <w:rFonts w:ascii="Arial" w:cs="Arial" w:eastAsia="Arial" w:hAnsi="Arial"/>
          <w:sz w:val="22"/>
          <w:szCs w:val="22"/>
          <w:u w:val="single" w:color="auto"/>
          <w:color w:val="auto"/>
        </w:rPr>
        <w:t>dissolution</w:t>
      </w:r>
      <w:r>
        <w:rPr>
          <w:rFonts w:ascii="Arial" w:cs="Arial" w:eastAsia="Arial" w:hAnsi="Arial"/>
          <w:sz w:val="22"/>
          <w:szCs w:val="22"/>
          <w:color w:val="auto"/>
        </w:rPr>
        <w:t>” (and any of those terms) includes a Dutch entity being declared bankrupt (</w:t>
      </w:r>
      <w:r>
        <w:rPr>
          <w:rFonts w:ascii="Arial" w:cs="Arial" w:eastAsia="Arial" w:hAnsi="Arial"/>
          <w:sz w:val="22"/>
          <w:szCs w:val="22"/>
          <w:i w:val="1"/>
          <w:iCs w:val="1"/>
          <w:color w:val="auto"/>
        </w:rPr>
        <w:t>failliet verklaard</w:t>
      </w:r>
      <w:r>
        <w:rPr>
          <w:rFonts w:ascii="Arial" w:cs="Arial" w:eastAsia="Arial" w:hAnsi="Arial"/>
          <w:sz w:val="22"/>
          <w:szCs w:val="22"/>
          <w:color w:val="auto"/>
        </w:rPr>
        <w:t>) or dissolved (</w:t>
      </w:r>
      <w:r>
        <w:rPr>
          <w:rFonts w:ascii="Arial" w:cs="Arial" w:eastAsia="Arial" w:hAnsi="Arial"/>
          <w:sz w:val="22"/>
          <w:szCs w:val="22"/>
          <w:i w:val="1"/>
          <w:iCs w:val="1"/>
          <w:color w:val="auto"/>
        </w:rPr>
        <w:t>ontbonden</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Credits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Commitments</w:t>
      </w:r>
      <w:r>
        <w:rPr>
          <w:rFonts w:ascii="Arial" w:cs="Arial" w:eastAsia="Arial" w:hAnsi="Arial"/>
          <w:sz w:val="22"/>
          <w:szCs w:val="22"/>
          <w:color w:val="auto"/>
        </w:rPr>
        <w:t>. Subject to the terms and conditions set forth herein, each Lender agrees to make Revolving Loans denominated in dollars or in any Alternative Currency to the Borrowers from time to time, in each case during the Availability Period, in an aggregate principal amount that will not result in such Lender’s Revolving Exposure exceeding such Lender’s Commitment. Within the foregoing limits and subject to the terms and conditions set forth herein, the Borrowers may borrow, prepay and reborrow Revolving Loans.</w:t>
      </w:r>
    </w:p>
    <w:p>
      <w:pPr>
        <w:spacing w:after="0" w:line="19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5" w:lineRule="auto"/>
        <w:tabs>
          <w:tab w:leader="none" w:pos="1130"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Each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Commitments of the Lenders are several and no Lender shall be responsible for any other Lender’s failure to make Loans as required.</w:t>
      </w:r>
    </w:p>
    <w:p>
      <w:pPr>
        <w:spacing w:after="0" w:line="175" w:lineRule="exact"/>
        <w:rPr>
          <w:rFonts w:ascii="Arial" w:cs="Arial" w:eastAsia="Arial" w:hAnsi="Arial"/>
          <w:sz w:val="21"/>
          <w:szCs w:val="21"/>
          <w:color w:val="auto"/>
        </w:rPr>
      </w:pPr>
    </w:p>
    <w:p>
      <w:pPr>
        <w:jc w:val="both"/>
        <w:ind w:firstLine="656"/>
        <w:spacing w:after="0" w:line="247" w:lineRule="auto"/>
        <w:tabs>
          <w:tab w:leader="none" w:pos="1188"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(i) each Borrowing denominated in dollars shall be comprised entirely of ABR Loans or Eurocurrency Loans as the Borrowers may request in accordance herewith and (ii) each Borrowing denominated in any Alternative Currency shall be comprised entirely of Eurocurrency Loans. Each Lender at its option may make any Eurocurrency Loan by causing any domestic or foreign branch or Affiliate of such Lender to make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applicable Borrower to repay such Loan in accordance with the terms of this Agreement.</w:t>
      </w:r>
    </w:p>
    <w:p>
      <w:pPr>
        <w:spacing w:after="0" w:line="192" w:lineRule="exact"/>
        <w:rPr>
          <w:rFonts w:ascii="Arial" w:cs="Arial" w:eastAsia="Arial" w:hAnsi="Arial"/>
          <w:sz w:val="22"/>
          <w:szCs w:val="22"/>
          <w:color w:val="auto"/>
        </w:rPr>
      </w:pPr>
    </w:p>
    <w:p>
      <w:pPr>
        <w:jc w:val="both"/>
        <w:ind w:firstLine="656"/>
        <w:spacing w:after="0" w:line="260" w:lineRule="auto"/>
        <w:tabs>
          <w:tab w:leader="none" w:pos="1211"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At the commencement of each Interest Period for any Eurocurrency Borrowing, such Borrowing shall be in an aggregate amount that is an integral multiple of the Borrowing Multiple and not less than the Borrowing Minimum;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Eurocurrency Borrowing that results from a continuation of an outstanding Eurocurrency Borrowing may be in an aggregate amount that is equal to such outstanding Borrowing. At the time that each ABR Borrowing is made, such Borrowing shall be in an aggregate amount that is an integral multiple of $100,000 and not less than the Borrowing Minimum. Borrowings of more than one Type may be outstanding at the same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there shall not be more than a total of 10 Eurocurrency Borrowings in the aggregate at any time outstanding. Notwithstanding anything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7" w:right="339" w:bottom="1440" w:gutter="0" w:footer="0" w:header="0"/>
        </w:sectPr>
      </w:pPr>
    </w:p>
    <w:bookmarkStart w:id="143" w:name="page144"/>
    <w:bookmarkEnd w:id="143"/>
    <w:p>
      <w:pPr>
        <w:jc w:val="both"/>
        <w:spacing w:after="0" w:line="343" w:lineRule="auto"/>
        <w:rPr>
          <w:sz w:val="20"/>
          <w:szCs w:val="20"/>
          <w:color w:val="auto"/>
        </w:rPr>
      </w:pPr>
      <w:r>
        <w:rPr>
          <w:rFonts w:ascii="Arial" w:cs="Arial" w:eastAsia="Arial" w:hAnsi="Arial"/>
          <w:sz w:val="19"/>
          <w:szCs w:val="19"/>
          <w:color w:val="auto"/>
        </w:rPr>
        <w:t xml:space="preserve">the contrary herein, an ABR Revolving Borrowing may be in an aggregate amount that is equal to the entire unused balance of the Commitment or that is required to finance the reimbursement of an LC Disbursement as contemplated by </w:t>
      </w:r>
      <w:r>
        <w:rPr>
          <w:rFonts w:ascii="Arial" w:cs="Arial" w:eastAsia="Arial" w:hAnsi="Arial"/>
          <w:sz w:val="19"/>
          <w:szCs w:val="19"/>
          <w:u w:val="single" w:color="auto"/>
          <w:color w:val="auto"/>
        </w:rPr>
        <w:t>Section 2.05(e)</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Requests for Borrowings</w:t>
      </w:r>
      <w:r>
        <w:rPr>
          <w:rFonts w:ascii="Arial" w:cs="Arial" w:eastAsia="Arial" w:hAnsi="Arial"/>
          <w:sz w:val="19"/>
          <w:szCs w:val="19"/>
          <w:color w:val="auto"/>
        </w:rPr>
        <w:t xml:space="preserve">. To request a Revolving Borrowing, a Borrower shall notify the Administrative Agent of such request by submitting a Borrowing Request (a) in the case of a Eurocurrency Borrowing, not later than 11:00 a.m., Local Time, three Business Days before the date of the proposed Borrowing or (b) in the case of an ABR Borrowing, not later than 11:00 a.m., New York City time, on the date of the proposed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notice shall be required for any deemed request of an ABR Revolving Borrowing to finance the reimbursement of an LC Disbursement denominated in dollars as contemplated by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Each such Borrowing Request shall be irrevocable and shall be signed by a Responsible Officer of the applicable Borrower. Each such Borrowing Request shall specify the following information (to the extent applicable, in compliance with </w:t>
      </w:r>
      <w:r>
        <w:rPr>
          <w:rFonts w:ascii="Arial" w:cs="Arial" w:eastAsia="Arial" w:hAnsi="Arial"/>
          <w:sz w:val="19"/>
          <w:szCs w:val="19"/>
          <w:u w:val="single" w:color="auto"/>
          <w:color w:val="auto"/>
        </w:rPr>
        <w:t>Sections 2.01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2.02</w:t>
      </w:r>
      <w:r>
        <w:rPr>
          <w:rFonts w:ascii="Arial" w:cs="Arial" w:eastAsia="Arial" w:hAnsi="Arial"/>
          <w:sz w:val="19"/>
          <w:szCs w:val="19"/>
          <w:color w:val="auto"/>
        </w:rPr>
        <w:t>):</w:t>
      </w:r>
    </w:p>
    <w:p>
      <w:pPr>
        <w:spacing w:after="0" w:line="156" w:lineRule="exact"/>
        <w:rPr>
          <w:sz w:val="20"/>
          <w:szCs w:val="20"/>
          <w:color w:val="auto"/>
        </w:rPr>
      </w:pPr>
    </w:p>
    <w:p>
      <w:pPr>
        <w:ind w:left="1720" w:hanging="416"/>
        <w:spacing w:after="0"/>
        <w:tabs>
          <w:tab w:leader="none" w:pos="17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Borrower to which the requested Borrowing is to be made;</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currency and the aggregate amount of such Borrowing;</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requested date of such Borrowing, which shall be a Business Day;</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whether such Borrowing is to be an ABR Borrowing or a Eurocurrency Borrowing;</w:t>
      </w:r>
    </w:p>
    <w:p>
      <w:pPr>
        <w:spacing w:after="0" w:line="219" w:lineRule="exact"/>
        <w:rPr>
          <w:rFonts w:ascii="Arial" w:cs="Arial" w:eastAsia="Arial" w:hAnsi="Arial"/>
          <w:sz w:val="22"/>
          <w:szCs w:val="22"/>
          <w:color w:val="auto"/>
        </w:rPr>
      </w:pPr>
    </w:p>
    <w:p>
      <w:pPr>
        <w:ind w:left="660" w:firstLine="644"/>
        <w:spacing w:after="0" w:line="263" w:lineRule="auto"/>
        <w:tabs>
          <w:tab w:leader="none" w:pos="1798"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the case of a Eurocurrency Borrowing, the initial Interest Period to be applicable thereto, which shall be a period contemplated by the definition of the term “Interest Period”;</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17"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the location and number of the applicable Borrower’s account to which funds are to be disbursed, which shall comply with the requirements of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or, if the Borrowing is being requested to finance the reimbursement of an LC Disbursement denominated in dollars in accordance with </w:t>
      </w:r>
      <w:r>
        <w:rPr>
          <w:rFonts w:ascii="Arial" w:cs="Arial" w:eastAsia="Arial" w:hAnsi="Arial"/>
          <w:sz w:val="22"/>
          <w:szCs w:val="22"/>
          <w:u w:val="single" w:color="auto"/>
          <w:color w:val="auto"/>
        </w:rPr>
        <w:t>Section 2.05(e)</w:t>
      </w:r>
      <w:r>
        <w:rPr>
          <w:rFonts w:ascii="Arial" w:cs="Arial" w:eastAsia="Arial" w:hAnsi="Arial"/>
          <w:sz w:val="22"/>
          <w:szCs w:val="22"/>
          <w:color w:val="auto"/>
        </w:rPr>
        <w:t>, the identity of the Issuing Bank that made such LC Disbursement; and</w:t>
      </w:r>
    </w:p>
    <w:p>
      <w:pPr>
        <w:spacing w:after="0" w:line="187" w:lineRule="exact"/>
        <w:rPr>
          <w:rFonts w:ascii="Arial" w:cs="Arial" w:eastAsia="Arial" w:hAnsi="Arial"/>
          <w:sz w:val="22"/>
          <w:szCs w:val="22"/>
          <w:color w:val="auto"/>
        </w:rPr>
      </w:pPr>
    </w:p>
    <w:p>
      <w:pPr>
        <w:jc w:val="both"/>
        <w:ind w:left="660" w:firstLine="644"/>
        <w:spacing w:after="0" w:line="253" w:lineRule="auto"/>
        <w:tabs>
          <w:tab w:leader="none" w:pos="1919"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that as of the requested date of such Borrowing, (A) if such date shall be the Effective Date, the conditions set forth in </w:t>
      </w:r>
      <w:r>
        <w:rPr>
          <w:rFonts w:ascii="Arial" w:cs="Arial" w:eastAsia="Arial" w:hAnsi="Arial"/>
          <w:sz w:val="22"/>
          <w:szCs w:val="22"/>
          <w:u w:val="single" w:color="auto"/>
          <w:color w:val="auto"/>
        </w:rPr>
        <w:t>Section 4.01(o)</w:t>
      </w:r>
      <w:r>
        <w:rPr>
          <w:rFonts w:ascii="Arial" w:cs="Arial" w:eastAsia="Arial" w:hAnsi="Arial"/>
          <w:sz w:val="22"/>
          <w:szCs w:val="22"/>
          <w:color w:val="auto"/>
        </w:rPr>
        <w:t xml:space="preserve"> will be satisfied and (B) if such date is after the Effective Date, </w:t>
      </w:r>
      <w:r>
        <w:rPr>
          <w:rFonts w:ascii="Arial" w:cs="Arial" w:eastAsia="Arial" w:hAnsi="Arial"/>
          <w:sz w:val="22"/>
          <w:szCs w:val="22"/>
          <w:u w:val="single" w:color="auto"/>
          <w:color w:val="auto"/>
        </w:rPr>
        <w:t>Sections 4.02(a)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4.02(c)</w:t>
      </w:r>
      <w:r>
        <w:rPr>
          <w:rFonts w:ascii="Arial" w:cs="Arial" w:eastAsia="Arial" w:hAnsi="Arial"/>
          <w:sz w:val="22"/>
          <w:szCs w:val="22"/>
          <w:color w:val="auto"/>
        </w:rPr>
        <w:t xml:space="preserve"> will be satisfied.</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no election as to the Type of Borrowing is specified, other than with respect to Borrowings denominated in an Alternative Currency, then the requested Borrowing shall be an ABR Borrowing. If no Interest Period is specified with respect to any requested Eurocurrency Borrowing, then such Borrower shall be deemed to have selected an Interest Period of one month’s duration. If no currency is specified with respect to any requested Revolving Loan, the Company shall be deemed to have selected dollars. Promptly following receipt of a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7" w:right="339" w:bottom="1440" w:gutter="0" w:footer="0" w:header="0"/>
        </w:sectPr>
      </w:pPr>
    </w:p>
    <w:bookmarkStart w:id="144" w:name="page145"/>
    <w:bookmarkEnd w:id="144"/>
    <w:p>
      <w:pPr>
        <w:spacing w:after="0" w:line="263" w:lineRule="auto"/>
        <w:rPr>
          <w:sz w:val="20"/>
          <w:szCs w:val="20"/>
          <w:color w:val="auto"/>
        </w:rPr>
      </w:pPr>
      <w:r>
        <w:rPr>
          <w:rFonts w:ascii="Arial" w:cs="Arial" w:eastAsia="Arial" w:hAnsi="Arial"/>
          <w:sz w:val="22"/>
          <w:szCs w:val="22"/>
          <w:color w:val="auto"/>
        </w:rPr>
        <w:t>Request in accordance with this Section, the Administrative Agent shall advise each Lender of the details thereof and of the amount of such Lender’s Loan to be made as part of the requested Borrowing.</w:t>
      </w:r>
    </w:p>
    <w:p>
      <w:pPr>
        <w:spacing w:after="0" w:line="17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6" w:lineRule="auto"/>
        <w:tabs>
          <w:tab w:leader="none" w:pos="118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the terms and conditions set forth herein, a Borrower may request the issuance of Letters of Credit for its own account (or for the account of any Subsidiary so long as a Borrower is a joint and several co-applicant in respect of such Letter of Credit), denominated in dollars or in an Alternative Currency and in a form reasonably acceptable to the Administrative Agent and the applicable Issuing Bank, at any time and from time to time during the Availability Period. All Existing Letters of Credit shall be deemed, without further action by any party hereto, to have been issued on the Effective Date pursuant to this Agreement, and the Revolving Lenders shall thereupon acquire participations in the Existing Letters of Credit as if so issued without further action by any party hereto. Notwithstanding anything contained in any letter of credit application or other agreement (other than this Agreement or any Security Document) submitted by a Borrower to, or entered into a Borrower with, any Issuing Bank relating to any Letter of Credit, (i) all provisions of such letter of credit application or other agreement purporting to grant Liens in favor of such Issuing Bank to secure obligations in respect of such Letter of Credit shall be disregarded, it being agreed that such obligations shall be secured to the extent provided in this Agreement and in the Security Documents, (ii) in the event of any inconsistency between the terms and conditions of this Agreement and the terms and conditions of such letter of credit application or such other agreement, as applicable, the terms and conditions of this Agreement shall control, and (iii) an Issuing Bank shall be under no obligation to issue any Letter of Credit if the issuance of such Letter of Credit would violate (x) any Requirement of Law or (y) such Issuing Bank’s internal policies.</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656"/>
        <w:spacing w:after="0" w:line="287" w:lineRule="auto"/>
        <w:tabs>
          <w:tab w:leader="none" w:pos="1197"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or the amendment, renewal or extension of an outstanding Letter of Credit (other than any automatic renewal permitted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a Borrower shall hand deliver or fax (or transmit by electronic communication, if arrangements for doing so have been approved by such Issuing Bank) to the applicable Issuing Bank and the Administrative Agent (reasonably in advance of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the currency and amount of such Letter of Credit, the name and address of the beneficiary thereof and such other information as shall be requested by the applicable Issuing Bank as necessary to enable such Issuing Bank to prepare, amend, renew or extend such Letter of Credit. If requested by the applicable Issuing Bank, such Borrower also shall submit a letter of credit application on such Issuing Bank’s standard form in connection with any request for a Letter of Credit. A Letter of Credit shall be issued, amended, renewed or extended only if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7" w:right="339" w:bottom="1440" w:gutter="0" w:footer="0" w:header="0"/>
        </w:sectPr>
      </w:pPr>
    </w:p>
    <w:bookmarkStart w:id="145" w:name="page146"/>
    <w:bookmarkEnd w:id="145"/>
    <w:p>
      <w:pPr>
        <w:jc w:val="both"/>
        <w:spacing w:after="0" w:line="285" w:lineRule="auto"/>
        <w:rPr>
          <w:sz w:val="20"/>
          <w:szCs w:val="20"/>
          <w:color w:val="auto"/>
        </w:rPr>
      </w:pPr>
      <w:r>
        <w:rPr>
          <w:rFonts w:ascii="Arial" w:cs="Arial" w:eastAsia="Arial" w:hAnsi="Arial"/>
          <w:sz w:val="19"/>
          <w:szCs w:val="19"/>
          <w:color w:val="auto"/>
        </w:rPr>
        <w:t xml:space="preserve">upon issuance, amendment, renewal or extension of any Letter of Credit the applicable Borrower shall be deemed to represent and warrant that), after giving effect to such issuance, amendment, renewal or extension, (i) the LC Exposure shall not exceed $450,000,000, (ii) the Total Revolving Exposure shall not exceed the Total Commitments, (iii) the aggregate amount of Letters of Credit issued by any Issuing Bank shall not exceed its Specified LC Sublimit and (iv) no Lender’s Revolving Exposure shall exceed its Commitment. Each Issuing Bank agrees that it shall not permit any issuance, amendment, renewal or extension of a Letter of Credit to occur unless it shall have given to the Administrative Agent written notice thereof as required under </w:t>
      </w:r>
      <w:r>
        <w:rPr>
          <w:rFonts w:ascii="Arial" w:cs="Arial" w:eastAsia="Arial" w:hAnsi="Arial"/>
          <w:sz w:val="19"/>
          <w:szCs w:val="19"/>
          <w:u w:val="single" w:color="auto"/>
          <w:color w:val="auto"/>
        </w:rPr>
        <w:t>paragraph</w:t>
      </w:r>
    </w:p>
    <w:p>
      <w:pPr>
        <w:ind w:left="260" w:hanging="252"/>
        <w:spacing w:after="0"/>
        <w:tabs>
          <w:tab w:leader="none" w:pos="260" w:val="left"/>
        </w:tabs>
        <w:numPr>
          <w:ilvl w:val="0"/>
          <w:numId w:val="68"/>
        </w:numPr>
        <w:rPr>
          <w:rFonts w:ascii="Arial" w:cs="Arial" w:eastAsia="Arial" w:hAnsi="Arial"/>
          <w:sz w:val="22"/>
          <w:szCs w:val="22"/>
          <w:u w:val="single" w:color="auto"/>
          <w:color w:val="auto"/>
        </w:rPr>
      </w:pPr>
      <w:r>
        <w:rPr>
          <w:rFonts w:ascii="Arial" w:cs="Arial" w:eastAsia="Arial" w:hAnsi="Arial"/>
          <w:sz w:val="22"/>
          <w:szCs w:val="22"/>
          <w:color w:val="auto"/>
        </w:rPr>
        <w:t>of this Section.</w:t>
      </w:r>
    </w:p>
    <w:p>
      <w:pPr>
        <w:spacing w:after="0" w:line="201" w:lineRule="exact"/>
        <w:rPr>
          <w:rFonts w:ascii="Arial" w:cs="Arial" w:eastAsia="Arial" w:hAnsi="Arial"/>
          <w:sz w:val="22"/>
          <w:szCs w:val="22"/>
          <w:u w:val="single" w:color="auto"/>
          <w:color w:val="auto"/>
        </w:rPr>
      </w:pPr>
    </w:p>
    <w:p>
      <w:pPr>
        <w:jc w:val="both"/>
        <w:ind w:firstLine="656"/>
        <w:spacing w:after="0" w:line="287" w:lineRule="auto"/>
        <w:tabs>
          <w:tab w:leader="none" w:pos="1158"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five Business Days prior to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any Letter of Credit may, upon the request of a Borrower, include a provision whereby such Letter of Credit shall be renewed automatically for additional consecutive periods of one year or less (but not beyond the date that is five Business Days prior to the Maturity Date unless such Letter of Credit is cash collateralized or backstopped pursuant to arrangements reasonably satisfactory to the relevant Issuing Bank) unless the applicable Issuing Bank notifies the beneficiary thereof at least 30 days prior to the then-applicable expiration date that such Letter of Credit will not be renewed and (y) any Issuing Bank may agree to issue a Letter of Credit with expiry date beyond the date set forth in clause (i) in its sole discretion (but not beyond the date that is five Business Days prior to the Maturity Date unless such Letter of Credit is cash collateralized or backstopped pursuant to arrangements reasonably satisfactory to the relevant Issuing Bank).</w:t>
      </w:r>
    </w:p>
    <w:p>
      <w:pPr>
        <w:spacing w:after="0" w:line="163" w:lineRule="exact"/>
        <w:rPr>
          <w:rFonts w:ascii="Arial" w:cs="Arial" w:eastAsia="Arial" w:hAnsi="Arial"/>
          <w:sz w:val="19"/>
          <w:szCs w:val="19"/>
          <w:color w:val="auto"/>
        </w:rPr>
      </w:pPr>
    </w:p>
    <w:p>
      <w:pPr>
        <w:jc w:val="both"/>
        <w:ind w:firstLine="656"/>
        <w:spacing w:after="0" w:line="286" w:lineRule="auto"/>
        <w:tabs>
          <w:tab w:leader="none" w:pos="1170"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the applicable Issuing Bank or the Lenders, the Issuing Bank that is the issuer of such Letter of Credit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Revolving Lender’s Applicable Percentage of each LC Disbursement made by such Issuing Bank and not reimbursed by the applicable Borrower on the date due as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or of any reimbursement payment required to be refunded to such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or any reduction or termination of the Commitments, and that each such payment shall be made without any offset, abatement, withholding or reduction whatsoever. Each Revolving Lender further acknowledges and agrees that, in issuing, amending, renewing or extending any Letter of Credit, the applicable Issuing Bank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7" w:right="339" w:bottom="1440" w:gutter="0" w:footer="0" w:header="0"/>
        </w:sectPr>
      </w:pPr>
    </w:p>
    <w:bookmarkStart w:id="146" w:name="page147"/>
    <w:bookmarkEnd w:id="146"/>
    <w:p>
      <w:pPr>
        <w:jc w:val="both"/>
        <w:spacing w:after="0" w:line="288" w:lineRule="auto"/>
        <w:rPr>
          <w:sz w:val="20"/>
          <w:szCs w:val="20"/>
          <w:color w:val="auto"/>
        </w:rPr>
      </w:pPr>
      <w:r>
        <w:rPr>
          <w:rFonts w:ascii="Arial" w:cs="Arial" w:eastAsia="Arial" w:hAnsi="Arial"/>
          <w:sz w:val="19"/>
          <w:szCs w:val="19"/>
          <w:color w:val="auto"/>
        </w:rPr>
        <w:t xml:space="preserve">entitled to rely, and shall not incur any liability for relying, upon the representation and warranty of a Borrower deemed made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unless, at least one Business Day prior to the time such Letter of Credit is issued, amended, renewed or extended (or, in the case of an automatic renewal permitted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at least one Business Day prior to the time by which the election not to extend must be made by the applicable Issuing Bank), the Required Lenders shall have notified the applicable Issuing Bank (with a copy to the Administrative Agent) in writing that, as a result of one or more events or circumstances described in such notice, one or more of the conditions precedent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4.02(b)</w:t>
      </w:r>
      <w:r>
        <w:rPr>
          <w:rFonts w:ascii="Arial" w:cs="Arial" w:eastAsia="Arial" w:hAnsi="Arial"/>
          <w:sz w:val="19"/>
          <w:szCs w:val="19"/>
          <w:color w:val="auto"/>
        </w:rPr>
        <w:t xml:space="preserve"> would not be satisfied if such Letter of Credit were then issued, amended, renewed or extended (it being understood and agreed that, in the event any Issuing Bank shall have received any such notice, no Issuing Bank shall have any obligation to issue, amend, renew or extend any Letter of Credit until and unless it shall be satisfied that the events and circumstances described in such notice shall have been cured or otherwise shall have ceased to exist).</w:t>
      </w:r>
    </w:p>
    <w:p>
      <w:pPr>
        <w:spacing w:after="0" w:line="159" w:lineRule="exact"/>
        <w:rPr>
          <w:sz w:val="20"/>
          <w:szCs w:val="20"/>
          <w:color w:val="auto"/>
        </w:rPr>
      </w:pPr>
    </w:p>
    <w:p>
      <w:pPr>
        <w:jc w:val="both"/>
        <w:ind w:firstLine="656"/>
        <w:spacing w:after="0" w:line="284" w:lineRule="auto"/>
        <w:tabs>
          <w:tab w:leader="none" w:pos="121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 Issuing Bank shall make any LC Disbursement in respect of a Letter of Credit, then the applicable Borrower shall reimburse such LC Disbursement by paying to the Administrative Agent an amount equal to such LC Disbursement not later than (i) if such Borrower shall have received notice of such LC Disbursement prior to 12:00 noon, Local Time, on any Business Day, then 5:00 p.m., Local Time, on such Business Day, or (ii) otherwise, 10:00 a.m., Local Time, on the Business Day immediately following the day that such Borrower receives such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such Borrower has notified the applicable Issuing Bank that it will reimburse such LC Disbursement by the required date and time, such Borrower shall, subject to the conditions to borrowing set forth herein, be deemed to have requested, and such Borrower does hereby request in such event that such payment be financed with an ABR Revolving Borrowing in an equivalent amount and, to the extent so financed, such Borrower’s obligation to make such payment shall be discharged and replaced by the resulting ABR Revolving Borrowing. In the case of any such reimbursement in dollars with respect to a Letter of Credit denominated in an Alternative Currency, the applicable Issuing Bank shall notify such Borrower of the Dollar Equivalent of the amount of the draft so paid promptly following the determination thereof. If such Borrower fails to reimburse any LC Disbursement by the time specified above in this paragraph, then the Administrative Agent shall notify each Revolving Lender, as the case may be, of the applicable LC Disbursement, the currency and amount of the payment then due from such Borrower in respect thereof and such Revolving Lender’s Applicable Percentage thereof, as applicable. Promptly following receipt of such notice, each Revolving Lender shall pay to the Administrative Agent its Applicable Percentage of the amount then due from such Borrower in the currency of the applicable LC Disbursement,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Revolving Lenders under this paragraph), and the Administrative Agent shall promptly remit to the applicable Issuing Bank the amounts so received by it from the applicable Revolving Lenders. Promptly following receipt by the Administrative Agent of any payment from a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7" w:right="339" w:bottom="1440" w:gutter="0" w:footer="0" w:header="0"/>
        </w:sectPr>
      </w:pPr>
    </w:p>
    <w:bookmarkStart w:id="147" w:name="page148"/>
    <w:bookmarkEnd w:id="147"/>
    <w:p>
      <w:pPr>
        <w:spacing w:after="0" w:line="343" w:lineRule="auto"/>
        <w:rPr>
          <w:sz w:val="20"/>
          <w:szCs w:val="20"/>
          <w:color w:val="auto"/>
        </w:rPr>
      </w:pPr>
      <w:r>
        <w:rPr>
          <w:rFonts w:ascii="Arial" w:cs="Arial" w:eastAsia="Arial" w:hAnsi="Arial"/>
          <w:sz w:val="19"/>
          <w:szCs w:val="19"/>
          <w:color w:val="auto"/>
        </w:rPr>
        <w:t>Issuing Bank for any LC Disbursement (other than the funding of an ABR Revolving Borrowing as contemplated above) shall not constitute a Loan and shall not relieve the applicable Borrower of its obligation to reimburse such LC Disbursement.</w:t>
      </w:r>
    </w:p>
    <w:p>
      <w:pPr>
        <w:spacing w:after="0" w:line="104" w:lineRule="exact"/>
        <w:rPr>
          <w:sz w:val="20"/>
          <w:szCs w:val="20"/>
          <w:color w:val="auto"/>
        </w:rPr>
      </w:pPr>
    </w:p>
    <w:p>
      <w:pPr>
        <w:jc w:val="both"/>
        <w:ind w:firstLine="656"/>
        <w:spacing w:after="0" w:line="284" w:lineRule="auto"/>
        <w:tabs>
          <w:tab w:leader="none" w:pos="113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obligations to reimburse LC Disbursements as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a Borrower’s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a Borrower to the extent of any direct damages (as opposed to special, indirect, consequential or punitive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265" w:lineRule="auto"/>
        <w:tabs>
          <w:tab w:leader="none" w:pos="1116"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applicable Borrower by telephone (confirmed by telecopy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7" w:right="339" w:bottom="1440" w:gutter="0" w:footer="0" w:header="0"/>
        </w:sectPr>
      </w:pPr>
    </w:p>
    <w:bookmarkStart w:id="148" w:name="page149"/>
    <w:bookmarkEnd w:id="148"/>
    <w:p>
      <w:pPr>
        <w:jc w:val="both"/>
        <w:spacing w:after="0" w:line="288" w:lineRule="auto"/>
        <w:rPr>
          <w:sz w:val="20"/>
          <w:szCs w:val="20"/>
          <w:color w:val="auto"/>
        </w:rPr>
      </w:pPr>
      <w:r>
        <w:rPr>
          <w:rFonts w:ascii="Arial" w:cs="Arial" w:eastAsia="Arial" w:hAnsi="Arial"/>
          <w:sz w:val="19"/>
          <w:szCs w:val="19"/>
          <w:color w:val="auto"/>
        </w:rPr>
        <w:t xml:space="preserve">electronic mail) of such demand for payment if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applicable Borrower of its obligation to reimburse such Issuing Bank and the Revolving Lenders with respect to any such LC Disbursement in accordance with </w:t>
      </w:r>
      <w:r>
        <w:rPr>
          <w:rFonts w:ascii="Arial" w:cs="Arial" w:eastAsia="Arial" w:hAnsi="Arial"/>
          <w:sz w:val="19"/>
          <w:szCs w:val="19"/>
          <w:u w:val="single" w:color="auto"/>
          <w:color w:val="auto"/>
        </w:rPr>
        <w:t>paragraph</w:t>
      </w:r>
    </w:p>
    <w:p>
      <w:pPr>
        <w:spacing w:after="0" w:line="1"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22"/>
          <w:szCs w:val="22"/>
          <w:u w:val="single" w:color="auto"/>
          <w:color w:val="auto"/>
        </w:rPr>
      </w:pPr>
      <w:r>
        <w:rPr>
          <w:rFonts w:ascii="Arial" w:cs="Arial" w:eastAsia="Arial" w:hAnsi="Arial"/>
          <w:sz w:val="22"/>
          <w:szCs w:val="22"/>
          <w:color w:val="auto"/>
        </w:rPr>
        <w:t>of this Section.</w:t>
      </w:r>
    </w:p>
    <w:p>
      <w:pPr>
        <w:spacing w:after="0" w:line="201" w:lineRule="exact"/>
        <w:rPr>
          <w:rFonts w:ascii="Arial" w:cs="Arial" w:eastAsia="Arial" w:hAnsi="Arial"/>
          <w:sz w:val="22"/>
          <w:szCs w:val="22"/>
          <w:u w:val="single" w:color="auto"/>
          <w:color w:val="auto"/>
        </w:rPr>
      </w:pPr>
    </w:p>
    <w:p>
      <w:pPr>
        <w:jc w:val="both"/>
        <w:ind w:firstLine="656"/>
        <w:spacing w:after="0" w:line="286" w:lineRule="auto"/>
        <w:tabs>
          <w:tab w:leader="none" w:pos="1197"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such Borrower reimburses such LC Disbursement in full, at (i) in the case of any LC Disbursement denominated in dollars, the rate per annum then applicable to ABR Revolving Loans and (ii) in the case of an LC Disbursement denominated in any Alternative Currency, a rate per annum determined by the applicable Issuing Bank (which determination will be conclusive absent manifest error) to represent its cost of funds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used to determine interest applicable to Eurocurrency Revolving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applicable Borrower fails to reimburse such LC Disbursement in full when due pursuant to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then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to reimburse such Issuing Bank shall be for the account of such Lender to the extent of such payment, and shall be payable on demand or, if no demand has been made, on the date on which the applicable Borrower reimburses the applicable LC Disbursement in full.</w:t>
      </w:r>
    </w:p>
    <w:p>
      <w:pPr>
        <w:spacing w:after="0" w:line="165" w:lineRule="exact"/>
        <w:rPr>
          <w:rFonts w:ascii="Arial" w:cs="Arial" w:eastAsia="Arial" w:hAnsi="Arial"/>
          <w:sz w:val="19"/>
          <w:szCs w:val="19"/>
          <w:color w:val="auto"/>
        </w:rPr>
      </w:pPr>
    </w:p>
    <w:p>
      <w:pPr>
        <w:jc w:val="both"/>
        <w:ind w:firstLine="656"/>
        <w:spacing w:after="0" w:line="285" w:lineRule="auto"/>
        <w:tabs>
          <w:tab w:leader="none" w:pos="1149"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any Event of Default shall occur and be continuing, on the Business Day on which the Company receives notice from the Administrative Agent or the Required Lenders, the Borrowers shall deposit in an account with the Administrative Agent, in the name of the Administrative Agent and for the benefit of the Revolving Lenders, an amount in cash and in the currency of each applicable Letter of Credit equal to the LC Exposure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The Borrowers also shall deposit cash collateral in accordance with this paragraph as and to the extent required by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2.20(c)</w:t>
      </w:r>
      <w:r>
        <w:rPr>
          <w:rFonts w:ascii="Arial" w:cs="Arial" w:eastAsia="Arial" w:hAnsi="Arial"/>
          <w:sz w:val="19"/>
          <w:szCs w:val="19"/>
          <w:color w:val="auto"/>
        </w:rPr>
        <w:t>. Each such deposit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Notwithstanding the terms of any Security Document, moneys in such account shall be applied by the Administrative Agent to reimburse the Issuing Banks for LC Disbursements for which they have not been reimbursed and, to the extent not so applied, shall be held for the satisfaction of the reimbursement obligations of the Borrowers for the LC Exposure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7" w:right="339" w:bottom="1440" w:gutter="0" w:footer="0" w:header="0"/>
        </w:sectPr>
      </w:pPr>
    </w:p>
    <w:bookmarkStart w:id="149" w:name="page150"/>
    <w:bookmarkEnd w:id="149"/>
    <w:p>
      <w:pPr>
        <w:jc w:val="both"/>
        <w:spacing w:after="0" w:line="286" w:lineRule="auto"/>
        <w:rPr>
          <w:sz w:val="20"/>
          <w:szCs w:val="20"/>
          <w:color w:val="auto"/>
        </w:rPr>
      </w:pPr>
      <w:r>
        <w:rPr>
          <w:rFonts w:ascii="Arial" w:cs="Arial" w:eastAsia="Arial" w:hAnsi="Arial"/>
          <w:sz w:val="19"/>
          <w:szCs w:val="19"/>
          <w:color w:val="auto"/>
        </w:rPr>
        <w:t xml:space="preserve">or, if the maturity of the Loans has been accelerated (but subject to (i) the consent of the Required Lenders and (ii) in the case of any such application at a time when any Revolving Lender is a Defaulting Lender (but only if, after giving effect thereto, the remaining cash collateral shall be less than the aggregate LC Exposure of all the Defaulting Lenders), the consent of each Issuing Bank), be applied to satisfy other obligations of the Borrowers under this Agreement. If the Borrowers are required to provide an amount of cash collateral hereunder as a result of the occurrence of an Event of Default, such amount (to the extent not applied as aforesaid) shall be returned to the Borrowers within three Business Days after all Events of Default have been cured or waived. If the Borrowers are required to provide an amount of cash collateral hereunder pursuant to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such amount (to the extent not applied as aforesaid) shall be returned to the Borrowers to the extent that, after giving effect to such return, the Total Revolving Exposure would not exceed the Total Commitments and no Default shall have occurred and be continuing. If the Borrowers are required to provide an amount of cash collateral hereunder pursuant to Section 2.11(c), such amount shall be returned to the Borrowers to the extent that, after giving effect to such return, the Consolidated Cash Balance as of the end of the month would not exceed $225,000,000. If the Borrowers are required to provide an amount of cash collateral hereunder pursuant to </w:t>
      </w:r>
      <w:r>
        <w:rPr>
          <w:rFonts w:ascii="Arial" w:cs="Arial" w:eastAsia="Arial" w:hAnsi="Arial"/>
          <w:sz w:val="19"/>
          <w:szCs w:val="19"/>
          <w:u w:val="single" w:color="auto"/>
          <w:color w:val="auto"/>
        </w:rPr>
        <w:t>Section 2.20(c)</w:t>
      </w:r>
      <w:r>
        <w:rPr>
          <w:rFonts w:ascii="Arial" w:cs="Arial" w:eastAsia="Arial" w:hAnsi="Arial"/>
          <w:sz w:val="19"/>
          <w:szCs w:val="19"/>
          <w:color w:val="auto"/>
        </w:rPr>
        <w:t>, such amount (to the extent not applied as aforesaid) shall be returned to the Borrowers to the extent that, after giving effect to such return, no Issuing Bank shall have any exposure in respect of any outstanding Letter of Credit that is not fully covered by the Commitments of the non-Defaulting Lenders and/or the remaining cash collateral and no Default shall have occurred and be continuing.</w:t>
      </w:r>
    </w:p>
    <w:p>
      <w:pPr>
        <w:spacing w:after="0" w:line="200" w:lineRule="exact"/>
        <w:rPr>
          <w:sz w:val="20"/>
          <w:szCs w:val="20"/>
          <w:color w:val="auto"/>
        </w:rPr>
      </w:pPr>
    </w:p>
    <w:p>
      <w:pPr>
        <w:spacing w:after="0" w:line="215" w:lineRule="exact"/>
        <w:rPr>
          <w:sz w:val="20"/>
          <w:szCs w:val="20"/>
          <w:color w:val="auto"/>
        </w:rPr>
      </w:pPr>
    </w:p>
    <w:p>
      <w:pPr>
        <w:jc w:val="both"/>
        <w:ind w:firstLine="656"/>
        <w:spacing w:after="0" w:line="290" w:lineRule="auto"/>
        <w:tabs>
          <w:tab w:leader="none" w:pos="1081"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Designation of Additional Issuing Banks</w:t>
      </w:r>
      <w:r>
        <w:rPr>
          <w:rFonts w:ascii="Arial" w:cs="Arial" w:eastAsia="Arial" w:hAnsi="Arial"/>
          <w:sz w:val="19"/>
          <w:szCs w:val="19"/>
          <w:color w:val="auto"/>
        </w:rPr>
        <w:t>. The Company may, at any time and from time to time, with the consent of the Administrative Agent (which consent shall not be unreasonably withheld),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executed by the Borrowers, the Administrative Agent and such designated Revolving Lender and, from and after the effective date of such agreement, (i) such Revolving Lender shall have all the rights and obligations of an Issuing Bank, as applicable, under this Agreement and (ii) references herein to the term “Issuing Bank” shall be deemed to include such Revolving Lender in its capacity as an issuer of Letters of Credit hereunder.</w:t>
      </w:r>
    </w:p>
    <w:p>
      <w:pPr>
        <w:spacing w:after="0" w:line="155" w:lineRule="exact"/>
        <w:rPr>
          <w:rFonts w:ascii="Arial" w:cs="Arial" w:eastAsia="Arial" w:hAnsi="Arial"/>
          <w:sz w:val="19"/>
          <w:szCs w:val="19"/>
          <w:color w:val="auto"/>
        </w:rPr>
      </w:pPr>
    </w:p>
    <w:p>
      <w:pPr>
        <w:jc w:val="both"/>
        <w:ind w:firstLine="656"/>
        <w:spacing w:after="0" w:line="259" w:lineRule="auto"/>
        <w:tabs>
          <w:tab w:leader="none" w:pos="1129"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Termination or Resignation of an Issuing Bank</w:t>
      </w:r>
      <w:r>
        <w:rPr>
          <w:rFonts w:ascii="Arial" w:cs="Arial" w:eastAsia="Arial" w:hAnsi="Arial"/>
          <w:sz w:val="21"/>
          <w:szCs w:val="21"/>
          <w:color w:val="auto"/>
        </w:rPr>
        <w:t xml:space="preserve">. The Borrowers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tenth Business Day following the date of the delivery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Borrowers shall pay all unpaid fees accrued for the account of the terminated Issuing Bank pursuant to </w:t>
      </w:r>
      <w:r>
        <w:rPr>
          <w:rFonts w:ascii="Arial" w:cs="Arial" w:eastAsia="Arial" w:hAnsi="Arial"/>
          <w:sz w:val="21"/>
          <w:szCs w:val="21"/>
          <w:u w:val="single" w:color="auto"/>
          <w:color w:val="auto"/>
        </w:rPr>
        <w:t>Section 2.12(b)</w:t>
      </w:r>
      <w:r>
        <w:rPr>
          <w:rFonts w:ascii="Arial" w:cs="Arial" w:eastAsia="Arial" w:hAnsi="Arial"/>
          <w:sz w:val="21"/>
          <w:szCs w:val="21"/>
          <w:color w:val="auto"/>
        </w:rPr>
        <w:t>. Notwithstanding the effectiveness of any such termination, the terminated Issuing Bank shall remain a party hereto and shall continue to have all the rights of an Issuing Bank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27" w:right="339" w:bottom="1440" w:gutter="0" w:footer="0" w:header="0"/>
        </w:sectPr>
      </w:pPr>
    </w:p>
    <w:bookmarkStart w:id="150" w:name="page151"/>
    <w:bookmarkEnd w:id="150"/>
    <w:p>
      <w:pPr>
        <w:jc w:val="both"/>
        <w:spacing w:after="0" w:line="261" w:lineRule="auto"/>
        <w:rPr>
          <w:sz w:val="20"/>
          <w:szCs w:val="20"/>
          <w:color w:val="auto"/>
        </w:rPr>
      </w:pPr>
      <w:r>
        <w:rPr>
          <w:rFonts w:ascii="Arial" w:cs="Arial" w:eastAsia="Arial" w:hAnsi="Arial"/>
          <w:sz w:val="21"/>
          <w:szCs w:val="21"/>
          <w:color w:val="auto"/>
        </w:rPr>
        <w:t>Agreement with respect to Letters of Credit issued by it prior to such termination, but shall not issue any additional Letters of Credit. Any Issuing Bank may resign at any time by giving 30 days prior notice to the Administrative Agent, the Revolving Lenders, and the Borrowers.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179" w:lineRule="exact"/>
        <w:rPr>
          <w:sz w:val="20"/>
          <w:szCs w:val="20"/>
          <w:color w:val="auto"/>
        </w:rPr>
      </w:pPr>
    </w:p>
    <w:p>
      <w:pPr>
        <w:jc w:val="both"/>
        <w:ind w:firstLine="656"/>
        <w:spacing w:after="0" w:line="287" w:lineRule="auto"/>
        <w:tabs>
          <w:tab w:leader="none" w:pos="1189"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Issuing Bank Reports to the Administrative Agent</w:t>
      </w:r>
      <w:r>
        <w:rPr>
          <w:rFonts w:ascii="Arial" w:cs="Arial" w:eastAsia="Arial" w:hAnsi="Arial"/>
          <w:sz w:val="19"/>
          <w:szCs w:val="19"/>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the currency and amount of such LC Disbursement and (v) on any other Business Day, such other information as the Administrative Agent shall reasonably request as to the Letters of Credit issued by such Issuing Bank.</w:t>
      </w:r>
    </w:p>
    <w:p>
      <w:pPr>
        <w:spacing w:after="0" w:line="158" w:lineRule="exact"/>
        <w:rPr>
          <w:rFonts w:ascii="Arial" w:cs="Arial" w:eastAsia="Arial" w:hAnsi="Arial"/>
          <w:sz w:val="19"/>
          <w:szCs w:val="19"/>
          <w:color w:val="auto"/>
        </w:rPr>
      </w:pPr>
    </w:p>
    <w:p>
      <w:pPr>
        <w:jc w:val="both"/>
        <w:ind w:firstLine="656"/>
        <w:spacing w:after="0" w:line="250" w:lineRule="auto"/>
        <w:tabs>
          <w:tab w:leader="none" w:pos="1189"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LC Exposure Determination</w:t>
      </w:r>
      <w:r>
        <w:rPr>
          <w:rFonts w:ascii="Arial" w:cs="Arial" w:eastAsia="Arial" w:hAnsi="Arial"/>
          <w:sz w:val="22"/>
          <w:szCs w:val="22"/>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156"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Applicability of ISP and UCP; Governing Law</w:t>
      </w:r>
      <w:r>
        <w:rPr>
          <w:rFonts w:ascii="Arial" w:cs="Arial" w:eastAsia="Arial" w:hAnsi="Arial"/>
          <w:sz w:val="22"/>
          <w:szCs w:val="22"/>
          <w:color w:val="auto"/>
        </w:rPr>
        <w:t>. Unless otherwise expressly agreed by the applicable Issuing Bank and the applicable Borrower when a Letter of Credit is issued, (i) the rules of the ISP or UCP shall apply to each standby Letter of Credit, (ii) the rules of the UCP shall apply to each commercial Letter of Credit and (iii) each Letter of Credit shall be governed by, and construed in accordance with, the law of the State of New York.</w:t>
      </w:r>
    </w:p>
    <w:p>
      <w:pPr>
        <w:spacing w:after="0" w:line="18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Funding of Borrowings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5" w:lineRule="auto"/>
        <w:tabs>
          <w:tab w:leader="none" w:pos="1198" w:val="left"/>
        </w:tabs>
        <w:numPr>
          <w:ilvl w:val="0"/>
          <w:numId w:val="74"/>
        </w:numPr>
        <w:rPr>
          <w:rFonts w:ascii="Arial" w:cs="Arial" w:eastAsia="Arial" w:hAnsi="Arial"/>
          <w:sz w:val="21"/>
          <w:szCs w:val="21"/>
          <w:color w:val="auto"/>
        </w:rPr>
      </w:pPr>
      <w:r>
        <w:rPr>
          <w:rFonts w:ascii="Arial" w:cs="Arial" w:eastAsia="Arial" w:hAnsi="Arial"/>
          <w:sz w:val="21"/>
          <w:szCs w:val="21"/>
          <w:color w:val="auto"/>
        </w:rPr>
        <w:t>Each Lender shall make each Loan to be made by it hereunder on the proposed date thereof by wire transfer of immediately available funds by 12:00 noon, Local Time, to the account of the Administrative Agent most recently designated by it for such purpose by notice to the Lenders. The Administrative Agent will make such Loans available to the applicable Borrower by promptly crediting the amounts so received, in like funds, to an account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7" w:right="339" w:bottom="1440" w:gutter="0" w:footer="0" w:header="0"/>
        </w:sectPr>
      </w:pPr>
    </w:p>
    <w:bookmarkStart w:id="151" w:name="page152"/>
    <w:bookmarkEnd w:id="151"/>
    <w:p>
      <w:pPr>
        <w:jc w:val="both"/>
        <w:spacing w:after="0" w:line="248" w:lineRule="auto"/>
        <w:rPr>
          <w:sz w:val="20"/>
          <w:szCs w:val="20"/>
          <w:color w:val="auto"/>
        </w:rPr>
      </w:pPr>
      <w:r>
        <w:rPr>
          <w:rFonts w:ascii="Arial" w:cs="Arial" w:eastAsia="Arial" w:hAnsi="Arial"/>
          <w:sz w:val="22"/>
          <w:szCs w:val="22"/>
          <w:color w:val="auto"/>
        </w:rPr>
        <w:t xml:space="preserve">Borrower and designated by such Borrower in the applicable Borrowing Request;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ABR Revolving Loans made to finance the reimbursement of an LC Disbursement denominated in dollars as provided in </w:t>
      </w:r>
      <w:r>
        <w:rPr>
          <w:rFonts w:ascii="Arial" w:cs="Arial" w:eastAsia="Arial" w:hAnsi="Arial"/>
          <w:sz w:val="22"/>
          <w:szCs w:val="22"/>
          <w:u w:val="single" w:color="auto"/>
          <w:color w:val="auto"/>
        </w:rPr>
        <w:t>Section 2.05(e)</w:t>
      </w:r>
      <w:r>
        <w:rPr>
          <w:rFonts w:ascii="Arial" w:cs="Arial" w:eastAsia="Arial" w:hAnsi="Arial"/>
          <w:sz w:val="22"/>
          <w:szCs w:val="22"/>
          <w:color w:val="auto"/>
        </w:rPr>
        <w:t xml:space="preserve"> shall be remitted by the Administrative Agent to the applicable Issuing Bank or, to the extent that Revolving Lenders have made payments pursuant to </w:t>
      </w:r>
      <w:r>
        <w:rPr>
          <w:rFonts w:ascii="Arial" w:cs="Arial" w:eastAsia="Arial" w:hAnsi="Arial"/>
          <w:sz w:val="22"/>
          <w:szCs w:val="22"/>
          <w:u w:val="single" w:color="auto"/>
          <w:color w:val="auto"/>
        </w:rPr>
        <w:t>Section 2.05(e)</w:t>
      </w:r>
      <w:r>
        <w:rPr>
          <w:rFonts w:ascii="Arial" w:cs="Arial" w:eastAsia="Arial" w:hAnsi="Arial"/>
          <w:sz w:val="22"/>
          <w:szCs w:val="22"/>
          <w:color w:val="auto"/>
        </w:rPr>
        <w:t xml:space="preserve"> to reimburse such Issuing Bank, then to such Revolving Lenders and such Issuing Bank as their interests may appear.</w:t>
      </w:r>
    </w:p>
    <w:p>
      <w:pPr>
        <w:spacing w:after="0" w:line="192" w:lineRule="exact"/>
        <w:rPr>
          <w:sz w:val="20"/>
          <w:szCs w:val="20"/>
          <w:color w:val="auto"/>
        </w:rPr>
      </w:pPr>
    </w:p>
    <w:p>
      <w:pPr>
        <w:jc w:val="both"/>
        <w:ind w:firstLine="656"/>
        <w:spacing w:after="0" w:line="285" w:lineRule="auto"/>
        <w:tabs>
          <w:tab w:leader="none" w:pos="1273"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and may, in reliance upon such assumption and in its sole discretion, make available to the applicable Borrower a corresponding amount. In such event, if a Lender has not in fact made its share of the applicable Borrowing available to the Administrative Agent, then the applicable Lender and such Borrower severally agrees to pay to the Administrative Agent forthwith on demand such corresponding amount with interest thereon, for each day from and including the date such amount is made available to the such Borrower to but excluding the date of payment to the Administrative Agent, at (i) in the case of such Lender, (A) in the case of Loans denominated in dollars, the greater of the NYFRB Rate and a rate determined by the Administrative Agent in accordance with banking industry rules on interbank compensation and (B) in the case of Loans denominated in an Alternative Currency, the rate determined by the Administrative Agent to be the cost to it of funding such amount (which determination will be conclusive absent manifest error) or (ii) in the case of the Borrowers, the interest rate applicable to (A) in the case of Loans denominated in dollars, ABR Loans and (B) in the case of Loans denominated in an Alternative Currency, the interest rate applicable to the subject Loan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If the applicable Borrower and such Lender shall pay such interest to the Administrative Agent for the same or an overlapping period, the Administrative Agent shall promptly remit to such Borrower the amount of such interest paid by such Borrower for such period. If such Lender pays such amount to the Administrative Agent, then such amount shall constitute such Lender’s Loan included in such Borrowing.</w:t>
      </w:r>
    </w:p>
    <w:p>
      <w:pPr>
        <w:spacing w:after="0" w:line="166"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Interest Elections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90" w:lineRule="auto"/>
        <w:tabs>
          <w:tab w:leader="none" w:pos="1104"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Each Revolving Borrowing initially shall be of the Type specified in the applicable Borrowing Request or designated by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in the case of a Eurocurrency Borrowing, shall have an initial Interest Period as specified in such Borrowing Request or designated by </w:t>
      </w:r>
      <w:r>
        <w:rPr>
          <w:rFonts w:ascii="Arial" w:cs="Arial" w:eastAsia="Arial" w:hAnsi="Arial"/>
          <w:sz w:val="19"/>
          <w:szCs w:val="19"/>
          <w:u w:val="single" w:color="auto"/>
          <w:color w:val="auto"/>
        </w:rPr>
        <w:t>Section 2.03</w:t>
      </w:r>
      <w:r>
        <w:rPr>
          <w:rFonts w:ascii="Arial" w:cs="Arial" w:eastAsia="Arial" w:hAnsi="Arial"/>
          <w:sz w:val="19"/>
          <w:szCs w:val="19"/>
          <w:color w:val="auto"/>
        </w:rPr>
        <w:t>. Thereafter, the applicable Borrower may elect to convert such Borrowing to a Borrowing of a different Type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Eurocurrency Borrowings denominated in an Alternative Currency may not be converted into ABR Borrowings) or to continue such Borrowing and, in the case of a Eurocurrency Borrowing, may elect Interest Periods therefor, all as provided in this Section. The Company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7" w:right="339" w:bottom="1440" w:gutter="0" w:footer="0" w:header="0"/>
        </w:sectPr>
      </w:pPr>
    </w:p>
    <w:bookmarkStart w:id="152" w:name="page153"/>
    <w:bookmarkEnd w:id="152"/>
    <w:p>
      <w:pPr>
        <w:jc w:val="both"/>
        <w:ind w:firstLine="656"/>
        <w:spacing w:after="0" w:line="265" w:lineRule="auto"/>
        <w:tabs>
          <w:tab w:leader="none" w:pos="1135"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To make an election pursuant to this Section, the applicable Borrower shall notify the Administrative Agent of such election by the time that a Borrowing Request would be required under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if the Company was requesting a Revolving Borrowing of the Type resulting from such election to be made on the effective date of such election. Each such Interest Election Request shall be irrevocable and shall be signed by a Responsible Officer of such Borrower.</w:t>
      </w:r>
    </w:p>
    <w:p>
      <w:pPr>
        <w:spacing w:after="0" w:line="175" w:lineRule="exact"/>
        <w:rPr>
          <w:rFonts w:ascii="Arial" w:cs="Arial" w:eastAsia="Arial" w:hAnsi="Arial"/>
          <w:sz w:val="21"/>
          <w:szCs w:val="21"/>
          <w:color w:val="auto"/>
        </w:rPr>
      </w:pPr>
    </w:p>
    <w:p>
      <w:pPr>
        <w:ind w:left="1120" w:hanging="464"/>
        <w:spacing w:after="0"/>
        <w:tabs>
          <w:tab w:leader="none" w:pos="11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Each Interest Election Request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312" w:lineRule="auto"/>
        <w:tabs>
          <w:tab w:leader="none" w:pos="1741"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33" w:lineRule="exact"/>
        <w:rPr>
          <w:rFonts w:ascii="Arial" w:cs="Arial" w:eastAsia="Arial" w:hAnsi="Arial"/>
          <w:sz w:val="19"/>
          <w:szCs w:val="19"/>
          <w:color w:val="auto"/>
        </w:rPr>
      </w:pPr>
    </w:p>
    <w:p>
      <w:pPr>
        <w:ind w:left="1800" w:hanging="496"/>
        <w:spacing w:after="0"/>
        <w:tabs>
          <w:tab w:leader="none" w:pos="1800"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Day;</w:t>
      </w:r>
    </w:p>
    <w:p>
      <w:pPr>
        <w:spacing w:after="0" w:line="201" w:lineRule="exact"/>
        <w:rPr>
          <w:rFonts w:ascii="Arial" w:cs="Arial" w:eastAsia="Arial" w:hAnsi="Arial"/>
          <w:sz w:val="19"/>
          <w:szCs w:val="19"/>
          <w:color w:val="auto"/>
        </w:rPr>
      </w:pPr>
    </w:p>
    <w:p>
      <w:pPr>
        <w:ind w:left="1840" w:hanging="536"/>
        <w:spacing w:after="0"/>
        <w:tabs>
          <w:tab w:leader="none" w:pos="1840" w:val="left"/>
        </w:tabs>
        <w:numPr>
          <w:ilvl w:val="1"/>
          <w:numId w:val="77"/>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or a Eurocurrency Borrowing; and</w:t>
      </w:r>
    </w:p>
    <w:p>
      <w:pPr>
        <w:spacing w:after="0" w:line="219" w:lineRule="exact"/>
        <w:rPr>
          <w:rFonts w:ascii="Arial" w:cs="Arial" w:eastAsia="Arial" w:hAnsi="Arial"/>
          <w:sz w:val="22"/>
          <w:szCs w:val="22"/>
          <w:color w:val="auto"/>
        </w:rPr>
      </w:pPr>
    </w:p>
    <w:p>
      <w:pPr>
        <w:ind w:left="660" w:firstLine="644"/>
        <w:spacing w:after="0" w:line="343" w:lineRule="auto"/>
        <w:tabs>
          <w:tab w:leader="none" w:pos="1903" w:val="left"/>
        </w:tabs>
        <w:numPr>
          <w:ilvl w:val="1"/>
          <w:numId w:val="77"/>
        </w:numPr>
        <w:rPr>
          <w:rFonts w:ascii="Arial" w:cs="Arial" w:eastAsia="Arial" w:hAnsi="Arial"/>
          <w:sz w:val="19"/>
          <w:szCs w:val="19"/>
          <w:color w:val="auto"/>
        </w:rPr>
      </w:pPr>
      <w:r>
        <w:rPr>
          <w:rFonts w:ascii="Arial" w:cs="Arial" w:eastAsia="Arial" w:hAnsi="Arial"/>
          <w:sz w:val="19"/>
          <w:szCs w:val="19"/>
          <w:color w:val="auto"/>
        </w:rPr>
        <w:t>if the resulting Borrowing is to be a Eurocurrency Borrowing, the Interest Period to be applicable thereto after giving effect to such election, which shall be a period contemplated by the definition of the term “Interest Period.”</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If any such Interest Election Request requests a Eurocurrency Borrowing but does not specify an Interest Period, then such Borrower shall be deemed to have selected an Interest Period of one month’s duration.</w:t>
      </w:r>
    </w:p>
    <w:p>
      <w:pPr>
        <w:spacing w:after="0" w:line="175" w:lineRule="exact"/>
        <w:rPr>
          <w:sz w:val="20"/>
          <w:szCs w:val="20"/>
          <w:color w:val="auto"/>
        </w:rPr>
      </w:pPr>
    </w:p>
    <w:p>
      <w:pPr>
        <w:ind w:firstLine="656"/>
        <w:spacing w:after="0" w:line="263" w:lineRule="auto"/>
        <w:tabs>
          <w:tab w:leader="none" w:pos="1119" w:val="left"/>
        </w:tabs>
        <w:numPr>
          <w:ilvl w:val="0"/>
          <w:numId w:val="78"/>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174" w:lineRule="exact"/>
        <w:rPr>
          <w:rFonts w:ascii="Arial" w:cs="Arial" w:eastAsia="Arial" w:hAnsi="Arial"/>
          <w:sz w:val="22"/>
          <w:szCs w:val="22"/>
          <w:color w:val="auto"/>
        </w:rPr>
      </w:pPr>
    </w:p>
    <w:p>
      <w:pPr>
        <w:jc w:val="both"/>
        <w:ind w:firstLine="656"/>
        <w:spacing w:after="0" w:line="289" w:lineRule="auto"/>
        <w:tabs>
          <w:tab w:leader="none" w:pos="1153"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If a Borrower fails to deliver a timely Interest Election Request with respect to a Eurocurrency Borrowing prior to the end of the Interest Period applicable thereto, then, unless such Borrowing is repaid as provided herein, at the end of such Interest Period (i) in the case of a Eurocurrency Borrowing denominated in dollars, such Borrowing shall be converted to an ABR Borrowing and (ii) in the case of a Eurocurrency Borrowing denominated in an Alternative Currency, such Borrowing shall be continued as a Borrowing of the applicable Type for an Interest Period of one month. Notwithstanding any contrary provision hereof, if an Event of Default under clause (h) or (i)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has occurred and is continuing with respect to a Borrower, or if any other Event of Default has occurred and is continuing and the Administrative Agent, at the request of the Required Lenders has notified the Borrowers of the election to give effect to this sentence on account of such other Event of Default, then, in each such case, so long as such Event of Default is continuing, (i) no outstanding Borrowing denominated in dollars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8" w:right="339" w:bottom="1440" w:gutter="0" w:footer="0" w:header="0"/>
        </w:sectPr>
      </w:pPr>
    </w:p>
    <w:bookmarkStart w:id="153" w:name="page154"/>
    <w:bookmarkEnd w:id="153"/>
    <w:p>
      <w:pPr>
        <w:jc w:val="both"/>
        <w:spacing w:after="0" w:line="250" w:lineRule="auto"/>
        <w:rPr>
          <w:sz w:val="20"/>
          <w:szCs w:val="20"/>
          <w:color w:val="auto"/>
        </w:rPr>
      </w:pPr>
      <w:r>
        <w:rPr>
          <w:rFonts w:ascii="Arial" w:cs="Arial" w:eastAsia="Arial" w:hAnsi="Arial"/>
          <w:sz w:val="22"/>
          <w:szCs w:val="22"/>
          <w:color w:val="auto"/>
        </w:rPr>
        <w:t>be converted to or continued as a Eurocurrency Borrowing, (ii) unless repaid, each Eurocurrency Borrowing denominated in dollars shall be converted to an ABR Borrowing at the end of the Interest Period applicable thereto and (iii) unless repaid, each Eurocurrency Borrowing denominated in an Alternative Currency shall be continued as a Eurocurrency Borrowing, with an Interest Period of one month’s duration.</w:t>
      </w:r>
    </w:p>
    <w:p>
      <w:pPr>
        <w:spacing w:after="0" w:line="18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Termination and Reduction of Commitments</w:t>
      </w:r>
      <w:r>
        <w:rPr>
          <w:rFonts w:ascii="Arial" w:cs="Arial" w:eastAsia="Arial" w:hAnsi="Arial"/>
          <w:sz w:val="19"/>
          <w:szCs w:val="19"/>
          <w:color w:val="auto"/>
        </w:rPr>
        <w:t>.</w:t>
      </w:r>
    </w:p>
    <w:p>
      <w:pPr>
        <w:spacing w:after="0" w:line="220" w:lineRule="exact"/>
        <w:rPr>
          <w:sz w:val="20"/>
          <w:szCs w:val="20"/>
          <w:color w:val="auto"/>
        </w:rPr>
      </w:pPr>
    </w:p>
    <w:p>
      <w:pPr>
        <w:ind w:left="1120" w:hanging="464"/>
        <w:spacing w:after="0"/>
        <w:tabs>
          <w:tab w:leader="none" w:pos="1120" w:val="left"/>
        </w:tabs>
        <w:numPr>
          <w:ilvl w:val="1"/>
          <w:numId w:val="79"/>
        </w:numPr>
        <w:rPr>
          <w:rFonts w:ascii="Arial" w:cs="Arial" w:eastAsia="Arial" w:hAnsi="Arial"/>
          <w:sz w:val="22"/>
          <w:szCs w:val="22"/>
          <w:color w:val="auto"/>
        </w:rPr>
      </w:pPr>
      <w:r>
        <w:rPr>
          <w:rFonts w:ascii="Arial" w:cs="Arial" w:eastAsia="Arial" w:hAnsi="Arial"/>
          <w:sz w:val="22"/>
          <w:szCs w:val="22"/>
          <w:color w:val="auto"/>
        </w:rPr>
        <w:t>Unless previously terminated, the Commitments shall automatically terminate on the Maturity Date.</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The Company may at any time terminate, or from time to time permanently reduce,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55" w:lineRule="exact"/>
        <w:rPr>
          <w:rFonts w:ascii="Arial" w:cs="Arial" w:eastAsia="Arial" w:hAnsi="Arial"/>
          <w:sz w:val="19"/>
          <w:szCs w:val="19"/>
          <w:color w:val="auto"/>
        </w:rPr>
      </w:pPr>
    </w:p>
    <w:p>
      <w:pPr>
        <w:jc w:val="both"/>
        <w:ind w:firstLine="8"/>
        <w:spacing w:after="0" w:line="244" w:lineRule="auto"/>
        <w:tabs>
          <w:tab w:leader="none" w:pos="271"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each partial reduction of the Commitments shall be in an amount that is an integral multiple of $1,000,000 and not less than $10,000,000 and (ii) the Company shall not terminate or reduce the Commitments if, after giving effect to any concurrent prepayment of the Revolving Loans in accordance with </w:t>
      </w:r>
      <w:r>
        <w:rPr>
          <w:rFonts w:ascii="Arial" w:cs="Arial" w:eastAsia="Arial" w:hAnsi="Arial"/>
          <w:sz w:val="22"/>
          <w:szCs w:val="22"/>
          <w:u w:val="single" w:color="auto"/>
          <w:color w:val="auto"/>
        </w:rPr>
        <w:t>Section 2.11</w:t>
      </w:r>
      <w:r>
        <w:rPr>
          <w:rFonts w:ascii="Arial" w:cs="Arial" w:eastAsia="Arial" w:hAnsi="Arial"/>
          <w:sz w:val="22"/>
          <w:szCs w:val="22"/>
          <w:color w:val="auto"/>
        </w:rPr>
        <w:t>, the Total Revolving Exposure would exceed the Total Commitments.</w:t>
      </w:r>
    </w:p>
    <w:p>
      <w:pPr>
        <w:spacing w:after="0" w:line="195" w:lineRule="exact"/>
        <w:rPr>
          <w:rFonts w:ascii="Arial" w:cs="Arial" w:eastAsia="Arial" w:hAnsi="Arial"/>
          <w:sz w:val="22"/>
          <w:szCs w:val="22"/>
          <w:color w:val="auto"/>
        </w:rPr>
      </w:pPr>
    </w:p>
    <w:p>
      <w:pPr>
        <w:jc w:val="both"/>
        <w:ind w:firstLine="656"/>
        <w:spacing w:after="0" w:line="289" w:lineRule="auto"/>
        <w:tabs>
          <w:tab w:leader="none" w:pos="1135"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The Company shall notify the Administrative Agent of any election to terminate or reduce the Commitments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Company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or reduction of the Commitments delivered under this paragraph may state that such notice is conditioned upon the occurrence of one or more events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57"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343" w:lineRule="auto"/>
        <w:tabs>
          <w:tab w:leader="none" w:pos="1297" w:val="left"/>
        </w:tabs>
        <w:numPr>
          <w:ilvl w:val="0"/>
          <w:numId w:val="81"/>
        </w:numPr>
        <w:rPr>
          <w:rFonts w:ascii="Arial" w:cs="Arial" w:eastAsia="Arial" w:hAnsi="Arial"/>
          <w:sz w:val="19"/>
          <w:szCs w:val="19"/>
          <w:color w:val="auto"/>
        </w:rPr>
      </w:pPr>
      <w:r>
        <w:rPr>
          <w:rFonts w:ascii="Arial" w:cs="Arial" w:eastAsia="Arial" w:hAnsi="Arial"/>
          <w:sz w:val="19"/>
          <w:szCs w:val="19"/>
          <w:color w:val="auto"/>
        </w:rPr>
        <w:t>Each Borrower hereby unconditionally promise to pay to the Administrative Agent for the account of each Revolving Lender the then unpaid principal amount of each Revolving Loan of such Revolving Lender on the Maturity Date.</w:t>
      </w:r>
    </w:p>
    <w:p>
      <w:pPr>
        <w:spacing w:after="0" w:line="104" w:lineRule="exact"/>
        <w:rPr>
          <w:rFonts w:ascii="Arial" w:cs="Arial" w:eastAsia="Arial" w:hAnsi="Arial"/>
          <w:sz w:val="19"/>
          <w:szCs w:val="19"/>
          <w:color w:val="auto"/>
        </w:rPr>
      </w:pPr>
    </w:p>
    <w:p>
      <w:pPr>
        <w:jc w:val="both"/>
        <w:ind w:firstLine="656"/>
        <w:spacing w:after="0" w:line="248" w:lineRule="auto"/>
        <w:tabs>
          <w:tab w:leader="none" w:pos="1136"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records maintained by the Administrative Agent and the Lenders shall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existence and amounts of the obligations of each Borrower in respect of Loans, LC Disbursements, interest and fees due or accrued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the Administrative Agent or any Lender to maintain such records or any error therein shall not in any manner affect the obligation of the Borrowers to pay any amounts due hereunder in accordance with the terms of this Agreement.</w:t>
      </w:r>
    </w:p>
    <w:p>
      <w:pPr>
        <w:spacing w:after="0" w:line="191" w:lineRule="exact"/>
        <w:rPr>
          <w:rFonts w:ascii="Arial" w:cs="Arial" w:eastAsia="Arial" w:hAnsi="Arial"/>
          <w:sz w:val="22"/>
          <w:szCs w:val="22"/>
          <w:color w:val="auto"/>
        </w:rPr>
      </w:pPr>
    </w:p>
    <w:p>
      <w:pPr>
        <w:ind w:firstLine="656"/>
        <w:spacing w:after="0" w:line="263" w:lineRule="auto"/>
        <w:tabs>
          <w:tab w:leader="none" w:pos="11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Lender may request that Loans made by it be evidenced by a Note. In such event, the applicable Borrower shall prepare, execute and deliver to such Lender a promissory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8" w:right="339" w:bottom="1440" w:gutter="0" w:footer="0" w:header="0"/>
        </w:sectPr>
      </w:pPr>
    </w:p>
    <w:bookmarkStart w:id="154" w:name="page155"/>
    <w:bookmarkEnd w:id="154"/>
    <w:p>
      <w:pPr>
        <w:jc w:val="both"/>
        <w:spacing w:after="0" w:line="253" w:lineRule="auto"/>
        <w:rPr>
          <w:sz w:val="20"/>
          <w:szCs w:val="20"/>
          <w:color w:val="auto"/>
        </w:rPr>
      </w:pPr>
      <w:r>
        <w:rPr>
          <w:rFonts w:ascii="Arial" w:cs="Arial" w:eastAsia="Arial" w:hAnsi="Arial"/>
          <w:sz w:val="22"/>
          <w:szCs w:val="22"/>
          <w:color w:val="auto"/>
        </w:rPr>
        <w:t xml:space="preserve">note payable to such Lender in substantially the form of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attached hereto (each, a “</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Thereafter, the Loans evidenced by such Note and interest thereon shall at all times (including after assignment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 be represented by a Note in such form payable to such payee and its registered assigns.</w:t>
      </w:r>
    </w:p>
    <w:p>
      <w:pPr>
        <w:spacing w:after="0" w:line="18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Prepayment of Loans</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63" w:lineRule="auto"/>
        <w:tabs>
          <w:tab w:leader="none" w:pos="1131"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Each Borrower shall have the right at any time and from time to time to prepay any Borrowing, in whole or in part, without premium or penalty, subject to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656"/>
        <w:spacing w:after="0" w:line="246" w:lineRule="auto"/>
        <w:tabs>
          <w:tab w:leader="none" w:pos="1133"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In the event and on each occasion that (i) the Total Revolving Exposure exceeds the Total Commitments (other than as a result of any revaluation of the Dollar Equivalent of Revolving Loans or the LC Exposure on any Revaluation Date in accordance with </w:t>
      </w: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or (ii) the Total Revolving Exposure exceeds 105% of the Total Commitments solely as a result of any revaluation of the Dollar Equivalent of Revolving Loans or the LC Exposure on any Revaluation Date in accordance with </w:t>
      </w: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the Borrowers shall prepay Revolving Borrowings (or, if no such Borrowings are outstanding, deposit cash collateral in an account with the Administrative Agent in accordance with </w:t>
      </w:r>
      <w:r>
        <w:rPr>
          <w:rFonts w:ascii="Arial" w:cs="Arial" w:eastAsia="Arial" w:hAnsi="Arial"/>
          <w:sz w:val="22"/>
          <w:szCs w:val="22"/>
          <w:u w:val="single" w:color="auto"/>
          <w:color w:val="auto"/>
        </w:rPr>
        <w:t>Section 2.05(i)</w:t>
      </w:r>
      <w:r>
        <w:rPr>
          <w:rFonts w:ascii="Arial" w:cs="Arial" w:eastAsia="Arial" w:hAnsi="Arial"/>
          <w:sz w:val="22"/>
          <w:szCs w:val="22"/>
          <w:color w:val="auto"/>
        </w:rPr>
        <w:t>) in an aggregate amount equal to such excess.</w:t>
      </w:r>
    </w:p>
    <w:p>
      <w:pPr>
        <w:spacing w:after="0" w:line="196" w:lineRule="exact"/>
        <w:rPr>
          <w:rFonts w:ascii="Arial" w:cs="Arial" w:eastAsia="Arial" w:hAnsi="Arial"/>
          <w:sz w:val="22"/>
          <w:szCs w:val="22"/>
          <w:color w:val="auto"/>
        </w:rPr>
      </w:pPr>
    </w:p>
    <w:p>
      <w:pPr>
        <w:jc w:val="both"/>
        <w:ind w:firstLine="656"/>
        <w:spacing w:after="0" w:line="263" w:lineRule="auto"/>
        <w:tabs>
          <w:tab w:leader="none" w:pos="1147"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If, at any time while Revolving Loans are outstanding, the Consolidated Cash Balance exceeds $225,000,000 as of the last calendar day of any month, then the Borrowers shall, within three (3) Business Days, prepay Revolving Borrowings in an aggregate amount equal to such excess, and if any excess remains after prepaying all outstanding Revolving Borrowings as a result of LC Exposure, the Borrowers shall deposit cash collateral in an account with the Administrative Agent in accordance with </w:t>
      </w:r>
      <w:r>
        <w:rPr>
          <w:rFonts w:ascii="Arial" w:cs="Arial" w:eastAsia="Arial" w:hAnsi="Arial"/>
          <w:sz w:val="21"/>
          <w:szCs w:val="21"/>
          <w:u w:val="single" w:color="auto"/>
          <w:color w:val="auto"/>
        </w:rPr>
        <w:t>Section 2.05(i)</w:t>
      </w:r>
      <w:r>
        <w:rPr>
          <w:rFonts w:ascii="Arial" w:cs="Arial" w:eastAsia="Arial" w:hAnsi="Arial"/>
          <w:sz w:val="21"/>
          <w:szCs w:val="21"/>
          <w:color w:val="auto"/>
        </w:rPr>
        <w:t xml:space="preserve"> in an amount equal to such excess.</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129"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Prior to any optional or mandatory prepayment of Borrowings under this Section, the Borrowers shall, subject to the next sentence, select the Borrowing or Borrowings to be prepaid and shall specify such selection in the notice of such prepayment delivered pursuant to </w:t>
      </w:r>
      <w:r>
        <w:rPr>
          <w:rFonts w:ascii="Arial" w:cs="Arial" w:eastAsia="Arial" w:hAnsi="Arial"/>
          <w:sz w:val="22"/>
          <w:szCs w:val="22"/>
          <w:u w:val="single" w:color="auto"/>
          <w:color w:val="auto"/>
        </w:rPr>
        <w:t>paragraph (e)</w:t>
      </w:r>
      <w:r>
        <w:rPr>
          <w:rFonts w:ascii="Arial" w:cs="Arial" w:eastAsia="Arial" w:hAnsi="Arial"/>
          <w:sz w:val="22"/>
          <w:szCs w:val="22"/>
          <w:color w:val="auto"/>
        </w:rPr>
        <w:t xml:space="preserve"> of this Section.</w:t>
      </w:r>
    </w:p>
    <w:p>
      <w:pPr>
        <w:spacing w:after="0" w:line="185" w:lineRule="exact"/>
        <w:rPr>
          <w:rFonts w:ascii="Arial" w:cs="Arial" w:eastAsia="Arial" w:hAnsi="Arial"/>
          <w:sz w:val="22"/>
          <w:szCs w:val="22"/>
          <w:color w:val="auto"/>
        </w:rPr>
      </w:pPr>
    </w:p>
    <w:p>
      <w:pPr>
        <w:jc w:val="both"/>
        <w:ind w:firstLine="656"/>
        <w:spacing w:after="0" w:line="259" w:lineRule="auto"/>
        <w:tabs>
          <w:tab w:leader="none" w:pos="1193"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The Company and/or the applicable Borrower shall notify the Administrative Agent by telephone (confirmed by hand delivery, facsimile or other electronic imaging) of any prepayment hereunder (i) in the case of prepayment of a Eurocurrency Borrowing, not later than 11:00 a.m., Local Time, three Business Days before the date of prepayment, or (ii) in the case of prepayment of an ABR Borrowing, not later than 11:00 a.m., New York City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notice of optional prepayment is given in connection with a conditional notice of termination of the Commitments as contemplated by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then such notice of prepayment may be revoked if such notice of termination is revoked in accordance with </w:t>
      </w:r>
      <w:r>
        <w:rPr>
          <w:rFonts w:ascii="Arial" w:cs="Arial" w:eastAsia="Arial" w:hAnsi="Arial"/>
          <w:sz w:val="21"/>
          <w:szCs w:val="2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8" w:right="339" w:bottom="1440" w:gutter="0" w:footer="0" w:header="0"/>
        </w:sectPr>
      </w:pPr>
    </w:p>
    <w:bookmarkStart w:id="155" w:name="page156"/>
    <w:bookmarkEnd w:id="155"/>
    <w:p>
      <w:pPr>
        <w:jc w:val="both"/>
        <w:spacing w:after="0" w:line="263" w:lineRule="auto"/>
        <w:rPr>
          <w:sz w:val="20"/>
          <w:szCs w:val="20"/>
          <w:color w:val="auto"/>
        </w:rPr>
      </w:pPr>
      <w:r>
        <w:rPr>
          <w:rFonts w:ascii="Arial" w:cs="Arial" w:eastAsia="Arial" w:hAnsi="Arial"/>
          <w:sz w:val="21"/>
          <w:szCs w:val="21"/>
          <w:u w:val="single" w:color="auto"/>
          <w:color w:val="auto"/>
        </w:rPr>
        <w:t>2.08</w:t>
      </w:r>
      <w:r>
        <w:rPr>
          <w:rFonts w:ascii="Arial" w:cs="Arial" w:eastAsia="Arial" w:hAnsi="Arial"/>
          <w:sz w:val="21"/>
          <w:szCs w:val="21"/>
          <w:color w:val="auto"/>
        </w:rPr>
        <w:t xml:space="preserve">.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21"/>
          <w:szCs w:val="21"/>
          <w:u w:val="single" w:color="auto"/>
          <w:color w:val="auto"/>
        </w:rPr>
        <w:t>Section 2.02</w:t>
      </w:r>
      <w:r>
        <w:rPr>
          <w:rFonts w:ascii="Arial" w:cs="Arial" w:eastAsia="Arial" w:hAnsi="Arial"/>
          <w:sz w:val="21"/>
          <w:szCs w:val="21"/>
          <w:color w:val="auto"/>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Arial" w:cs="Arial" w:eastAsia="Arial" w:hAnsi="Arial"/>
          <w:sz w:val="21"/>
          <w:szCs w:val="21"/>
          <w:u w:val="single" w:color="auto"/>
          <w:color w:val="auto"/>
        </w:rPr>
        <w:t>Section 2.13</w:t>
      </w:r>
      <w:r>
        <w:rPr>
          <w:rFonts w:ascii="Arial" w:cs="Arial" w:eastAsia="Arial" w:hAnsi="Arial"/>
          <w:sz w:val="21"/>
          <w:szCs w:val="21"/>
          <w:color w:val="auto"/>
        </w:rPr>
        <w:t>.</w:t>
      </w:r>
    </w:p>
    <w:p>
      <w:pPr>
        <w:spacing w:after="0" w:line="17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0" w:lineRule="exact"/>
        <w:rPr>
          <w:sz w:val="20"/>
          <w:szCs w:val="20"/>
          <w:color w:val="auto"/>
        </w:rPr>
      </w:pPr>
    </w:p>
    <w:p>
      <w:pPr>
        <w:jc w:val="both"/>
        <w:ind w:firstLine="656"/>
        <w:spacing w:after="0" w:line="292" w:lineRule="auto"/>
        <w:tabs>
          <w:tab w:leader="none" w:pos="1166"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Borrowers agree to pay to the Administrative Agent for the account of each Revolving Lender for the period from and including the Effective Date to but excluding the date on which the Commitments terminate (or are otherwise reduced to zero), a commitment fee which shall accrue at the Applicable Rate on the average daily unused amount of the Commitment of such Revolving Lender. Such accrued commitment fees shall be payable in arrears on the last Business Day of March, June, September and December of each year and on the date on which all the Commitments terminate, commencing on the first such date to occur after the Effective Date. For purposes of computing commitment fees, a Commitment shall be deemed to be used to the extent of the outstanding Revolving Loans and LC Exposure of such Lender.</w:t>
      </w:r>
    </w:p>
    <w:p>
      <w:pPr>
        <w:spacing w:after="0" w:line="150" w:lineRule="exact"/>
        <w:rPr>
          <w:rFonts w:ascii="Arial" w:cs="Arial" w:eastAsia="Arial" w:hAnsi="Arial"/>
          <w:sz w:val="19"/>
          <w:szCs w:val="19"/>
          <w:color w:val="auto"/>
        </w:rPr>
      </w:pPr>
    </w:p>
    <w:p>
      <w:pPr>
        <w:jc w:val="both"/>
        <w:ind w:firstLine="656"/>
        <w:spacing w:after="0" w:line="285" w:lineRule="auto"/>
        <w:tabs>
          <w:tab w:leader="none" w:pos="1117"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Borrowers agree to pay (i) to the Administrative Agent for the account of each Revolving Lender a participation fee with respect to its participations in Letters of Credit, which shall accrue at the same Applicable Rate then used to determine the interest rate applicable to Eurocurrency Revolving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each Issuing Bank a fronting fee, which shall accrue at a rate per annum equal to 0.20% on the average daily amount of the LC Exposure attributable to Letters of Credit issued by such Issuing Bank (excluding any portion thereof attributable to unreimbursed LC Disbursements) during the period from and including the Effective Date to but excluding the later of the date of termination of all the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all the Commitments terminate and any such fees accruing after the date on which all the Commitments terminate shall be payable on demand. Any other fees payable to an Issuing Bank pursuant to this paragraph shall be payable within the time periods separately agreed by the applicable Borrower and such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8" w:right="339" w:bottom="1440" w:gutter="0" w:footer="0" w:header="0"/>
        </w:sectPr>
      </w:pPr>
    </w:p>
    <w:bookmarkStart w:id="156" w:name="page157"/>
    <w:bookmarkEnd w:id="156"/>
    <w:p>
      <w:pPr>
        <w:ind w:right="20" w:firstLine="656"/>
        <w:spacing w:after="0" w:line="263" w:lineRule="auto"/>
        <w:tabs>
          <w:tab w:leader="none" w:pos="1111"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Borrowers agree to pay to the Administrative Agent, for its own account, fees payable in the amounts and at the times separately agreed upon between the Borrowers and the Administrative Agent.</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197" w:val="left"/>
        </w:tabs>
        <w:numPr>
          <w:ilvl w:val="0"/>
          <w:numId w:val="84"/>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immediately available funds, to the Administrative Agent (or to the applicable Issuing Bank, in the case of fees payable to it) for distribution, in the case of commitment fees and participation fees, to the Revolving Lenders entitled thereto. Fees paid hereunder shall not be refundable under any circumstances.</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102"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All commitment fees, participation fees and fronting fees payable pursuant to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shall be computed on the basis of a year of 360 days and shall be payable for the actual number of days elapsed (including the first day but excluding the last day).</w:t>
      </w:r>
    </w:p>
    <w:p>
      <w:pPr>
        <w:spacing w:after="0" w:line="18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20" w:lineRule="exact"/>
        <w:rPr>
          <w:sz w:val="20"/>
          <w:szCs w:val="20"/>
          <w:color w:val="auto"/>
        </w:rPr>
      </w:pPr>
    </w:p>
    <w:p>
      <w:pPr>
        <w:ind w:left="1100" w:hanging="444"/>
        <w:spacing w:after="0"/>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Loans comprising each ABR Borrowing shall bear interest at the Alternate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w:t>
      </w:r>
    </w:p>
    <w:p>
      <w:pPr>
        <w:spacing w:after="0" w:line="254" w:lineRule="exact"/>
        <w:rPr>
          <w:rFonts w:ascii="Arial" w:cs="Arial" w:eastAsia="Arial" w:hAnsi="Arial"/>
          <w:sz w:val="19"/>
          <w:szCs w:val="19"/>
          <w:color w:val="auto"/>
        </w:rPr>
      </w:pPr>
    </w:p>
    <w:p>
      <w:pPr>
        <w:jc w:val="both"/>
        <w:ind w:firstLine="656"/>
        <w:spacing w:after="0" w:line="253" w:lineRule="auto"/>
        <w:tabs>
          <w:tab w:leader="none" w:pos="1194"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Loans comprising each Eurocurrency Borrowing shall bear interest in the case of a Eurocurrency Revolving Loan, at the Adjusted LIBO Rate or the Adjusted EURIBOR Rate, as applicable, for the Interest Period in effect for such Borrowing plus the Applicable Rate.</w:t>
      </w:r>
    </w:p>
    <w:p>
      <w:pPr>
        <w:spacing w:after="0" w:line="185" w:lineRule="exact"/>
        <w:rPr>
          <w:rFonts w:ascii="Arial" w:cs="Arial" w:eastAsia="Arial" w:hAnsi="Arial"/>
          <w:sz w:val="22"/>
          <w:szCs w:val="22"/>
          <w:color w:val="auto"/>
        </w:rPr>
      </w:pPr>
    </w:p>
    <w:p>
      <w:pPr>
        <w:jc w:val="both"/>
        <w:ind w:firstLine="656"/>
        <w:spacing w:after="0" w:line="259" w:lineRule="auto"/>
        <w:tabs>
          <w:tab w:leader="none" w:pos="1104"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Notwithstanding the foregoing, (i) upon the occurrence of an Event of Default described in </w:t>
      </w:r>
      <w:r>
        <w:rPr>
          <w:rFonts w:ascii="Arial" w:cs="Arial" w:eastAsia="Arial" w:hAnsi="Arial"/>
          <w:sz w:val="21"/>
          <w:szCs w:val="21"/>
          <w:u w:val="single" w:color="auto"/>
          <w:color w:val="auto"/>
        </w:rPr>
        <w:t>Section 7.01(h)</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7.01(i)</w:t>
      </w:r>
      <w:r>
        <w:rPr>
          <w:rFonts w:ascii="Arial" w:cs="Arial" w:eastAsia="Arial" w:hAnsi="Arial"/>
          <w:sz w:val="21"/>
          <w:szCs w:val="21"/>
          <w:color w:val="auto"/>
        </w:rPr>
        <w:t xml:space="preserve"> or (ii) if any principal of or interest on any Loan or any fee or other amount payable by a Borrower hereunder is not paid when due, whether at stated maturity, upon acceleration or otherwise, such overdue amount shall bear interest, after as well as before judgment, at a rate per annum equal to (i) in the case of overdue principal of any Loan, 2.00% per annum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rate otherwise applicable to such Loan as provided in the preceding paragraphs of this Section or (ii) in the case of any other overdue amount, 2.00% per annum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rate applicable to ABR Revolving Loans as provided in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of this Section. Payment or acceptance of the increased rates of interest provided for in this </w:t>
      </w:r>
      <w:r>
        <w:rPr>
          <w:rFonts w:ascii="Arial" w:cs="Arial" w:eastAsia="Arial" w:hAnsi="Arial"/>
          <w:sz w:val="21"/>
          <w:szCs w:val="21"/>
          <w:u w:val="single" w:color="auto"/>
          <w:color w:val="auto"/>
        </w:rPr>
        <w:t>paragraph (c)</w:t>
      </w:r>
      <w:r>
        <w:rPr>
          <w:rFonts w:ascii="Arial" w:cs="Arial" w:eastAsia="Arial" w:hAnsi="Arial"/>
          <w:sz w:val="21"/>
          <w:szCs w:val="21"/>
          <w:color w:val="auto"/>
        </w:rPr>
        <w:t xml:space="preserve"> is not a permitted alternative to timely payment and shall not constitute a waiver of any Event of Default or otherwise prejudice or limit any rights or remedies of the Administrative Agent, any Issuing Bank or any Lender.</w:t>
      </w:r>
    </w:p>
    <w:p>
      <w:pPr>
        <w:spacing w:after="0" w:line="179" w:lineRule="exact"/>
        <w:rPr>
          <w:rFonts w:ascii="Arial" w:cs="Arial" w:eastAsia="Arial" w:hAnsi="Arial"/>
          <w:sz w:val="21"/>
          <w:szCs w:val="21"/>
          <w:color w:val="auto"/>
        </w:rPr>
      </w:pPr>
    </w:p>
    <w:p>
      <w:pPr>
        <w:jc w:val="both"/>
        <w:ind w:firstLine="656"/>
        <w:spacing w:after="0" w:line="294" w:lineRule="auto"/>
        <w:tabs>
          <w:tab w:leader="none" w:pos="117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upon termination of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 Eurocurrency Loan prior to the end of the current Interest Period therefor, accrued interest on such Loan shall be payable on the effective date of such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8" w:right="339" w:bottom="1440" w:gutter="0" w:footer="0" w:header="0"/>
        </w:sectPr>
      </w:pPr>
    </w:p>
    <w:bookmarkStart w:id="157" w:name="page158"/>
    <w:bookmarkEnd w:id="157"/>
    <w:p>
      <w:pPr>
        <w:jc w:val="both"/>
        <w:ind w:firstLine="656"/>
        <w:spacing w:after="0" w:line="292" w:lineRule="auto"/>
        <w:tabs>
          <w:tab w:leader="none" w:pos="1148"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Interest computed by reference to the LIBO Rate (other than with respect to Loans denominated in Sterling) or the EURIBOR Rate hereunder shall be computed on the basis of a year of 360 days. Interest computed by reference to the LIBO Rate (with respect to Loans denominated in Sterling only)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The applicable Alternate Base Rate, Adjusted LIBO Rate, LIBO Rate, Adjusted EURIBOR Rate or EURIBOR Rate shall be determined by the Administrative Agent, and such determination shall be conclusive absent manifest error.</w:t>
      </w:r>
    </w:p>
    <w:p>
      <w:pPr>
        <w:spacing w:after="0" w:line="151"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63" w:lineRule="auto"/>
        <w:tabs>
          <w:tab w:leader="none" w:pos="1185"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2.14</w:t>
      </w:r>
      <w:r>
        <w:rPr>
          <w:rFonts w:ascii="Arial" w:cs="Arial" w:eastAsia="Arial" w:hAnsi="Arial"/>
          <w:sz w:val="22"/>
          <w:szCs w:val="22"/>
          <w:color w:val="auto"/>
        </w:rPr>
        <w:t>, if prior to the commencement of any Interest Period for a Eurocurrency Borrowing:</w:t>
      </w:r>
    </w:p>
    <w:p>
      <w:pPr>
        <w:spacing w:after="0" w:line="174" w:lineRule="exact"/>
        <w:rPr>
          <w:rFonts w:ascii="Arial" w:cs="Arial" w:eastAsia="Arial" w:hAnsi="Arial"/>
          <w:sz w:val="22"/>
          <w:szCs w:val="22"/>
          <w:color w:val="auto"/>
        </w:rPr>
      </w:pPr>
    </w:p>
    <w:p>
      <w:pPr>
        <w:jc w:val="both"/>
        <w:ind w:left="660" w:firstLine="644"/>
        <w:spacing w:after="0" w:line="263" w:lineRule="auto"/>
        <w:tabs>
          <w:tab w:leader="none" w:pos="1822" w:val="left"/>
        </w:tabs>
        <w:numPr>
          <w:ilvl w:val="1"/>
          <w:numId w:val="87"/>
        </w:numPr>
        <w:rPr>
          <w:rFonts w:ascii="Arial" w:cs="Arial" w:eastAsia="Arial" w:hAnsi="Arial"/>
          <w:sz w:val="21"/>
          <w:szCs w:val="21"/>
          <w:color w:val="auto"/>
        </w:rPr>
      </w:pPr>
      <w:r>
        <w:rPr>
          <w:rFonts w:ascii="Arial" w:cs="Arial" w:eastAsia="Arial" w:hAnsi="Arial"/>
          <w:sz w:val="21"/>
          <w:szCs w:val="21"/>
          <w:color w:val="auto"/>
        </w:rPr>
        <w:t>the Administrative Agent determines (which determination shall be conclusive absent manifest error) that adequate and reasonable means do not exist for ascertaining the Adjusted LIBO Rate, the LIBO Rate, the Adjusted EURIBOR Rate or the EURIBOR Rate, as applicable (including, without limitation, because the Relevant Screen Rate is not available or published on a current basis), for the applicable Agreed Currency and such Interest Period, provided that no Benchmark Transition Event shall have occurred at such time; or</w:t>
      </w:r>
    </w:p>
    <w:p>
      <w:pPr>
        <w:spacing w:after="0" w:line="175" w:lineRule="exact"/>
        <w:rPr>
          <w:rFonts w:ascii="Arial" w:cs="Arial" w:eastAsia="Arial" w:hAnsi="Arial"/>
          <w:sz w:val="21"/>
          <w:szCs w:val="21"/>
          <w:color w:val="auto"/>
        </w:rPr>
      </w:pPr>
    </w:p>
    <w:p>
      <w:pPr>
        <w:jc w:val="both"/>
        <w:ind w:left="660" w:firstLine="644"/>
        <w:spacing w:after="0" w:line="263" w:lineRule="auto"/>
        <w:tabs>
          <w:tab w:leader="none" w:pos="1809" w:val="left"/>
        </w:tabs>
        <w:numPr>
          <w:ilvl w:val="1"/>
          <w:numId w:val="87"/>
        </w:numPr>
        <w:rPr>
          <w:rFonts w:ascii="Arial" w:cs="Arial" w:eastAsia="Arial" w:hAnsi="Arial"/>
          <w:sz w:val="21"/>
          <w:szCs w:val="21"/>
          <w:color w:val="auto"/>
        </w:rPr>
      </w:pPr>
      <w:r>
        <w:rPr>
          <w:rFonts w:ascii="Arial" w:cs="Arial" w:eastAsia="Arial" w:hAnsi="Arial"/>
          <w:sz w:val="21"/>
          <w:szCs w:val="21"/>
          <w:color w:val="auto"/>
        </w:rPr>
        <w:t>the Administrative Agent is advised by the Required Lenders (or, in the case of a Eurocurrency Competitive Loan, the Lender that is required to make such Loan) that the Adjusted LIBO Rate, the LIBO Rate, the Adjusted EURIBOR Rate or the EURIBOR Rate, as applicable, for the applicable Agreed Currency and such Interest Period will not adequately and fairly reflect the cost to such Lenders (or Lender) of making or maintaining their Loans (or its Loan) included in such Borrowing for the applicable Agreed Currency and such Interest Period;</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then the Administrative Agent shall give notice thereof to the Company and the Lenders by telephone, telecopy or electronic mail as promptly as practicable thereafter and, until the Administrative Agent notifies the Company and the Lenders that the circumstances giving rise to such notice no longer exist, (A) any Interest Election Request that requests the conversion of any Revolving Borrowing to, or continuation of any Revolving Borrowing as, a Eurocurrency Borrowing shall be ineffective and (B) if any Borrowing Request requests a Eurocurrency Revolving Borrowing in dollars, such Borrowing shall be made as an ABR Borrowing and (C) if any Borrowing Request requests a Eurocurrency Borrowing in an Alternative Currency, then such request shall be ineffective. Furthermore, if any Eurocurrency Loan in any Agreed Currency is outstanding on the date of the Company’s receipt of the notice from the Administrative Agent referred to in this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with respect to a Relevant Rate applicable to such Eurocurrency Loan, then until the Administrative Agent notifies the Borrower and the Lenders that the circumstances giving rise to such notice no longer exist, (i) if such Eurocurrency Loan is denominated in dollars, then on the last day of the Interest Period applicable to such Loan (or the next succeeding Business Day if such day is not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28" w:right="339" w:bottom="1440" w:gutter="0" w:footer="0" w:header="0"/>
        </w:sectPr>
      </w:pPr>
    </w:p>
    <w:bookmarkStart w:id="158" w:name="page159"/>
    <w:bookmarkEnd w:id="158"/>
    <w:p>
      <w:pPr>
        <w:jc w:val="both"/>
        <w:spacing w:after="0" w:line="292" w:lineRule="auto"/>
        <w:rPr>
          <w:sz w:val="20"/>
          <w:szCs w:val="20"/>
          <w:color w:val="auto"/>
        </w:rPr>
      </w:pPr>
      <w:r>
        <w:rPr>
          <w:rFonts w:ascii="Arial" w:cs="Arial" w:eastAsia="Arial" w:hAnsi="Arial"/>
          <w:sz w:val="19"/>
          <w:szCs w:val="19"/>
          <w:color w:val="auto"/>
        </w:rPr>
        <w:t>such Loan shall be converted by the Administrative Agent to, and shall constitute, an ABR Loan denominated in dollars on such day and (ii) if such Eurocurrency Loan is denominated in any Agreed Currency other than dollars, then such Loan shall, on the last day of the Interest Period applicable to such Loan (or the next succeeding Business Day if such day is not a Business Day), at the Company’s election prior to such day: (A) be prepaid by the applicable Borrower on such day or (B) solely for the purpose of calculating the interest rate applicable to such Eurocurrency Loan, such Eurocurrency Loan denominated in any Agreed Currency other than dollars shall be deemed to be a Eurocurrency Loan denominated in dollars and shall accrue interest at the same interest rate applicable to Eurocurrency Loans denominated in dollars at such time.</w:t>
      </w:r>
    </w:p>
    <w:p>
      <w:pPr>
        <w:spacing w:after="0" w:line="151" w:lineRule="exact"/>
        <w:rPr>
          <w:sz w:val="20"/>
          <w:szCs w:val="20"/>
          <w:color w:val="auto"/>
        </w:rPr>
      </w:pPr>
    </w:p>
    <w:p>
      <w:pPr>
        <w:jc w:val="both"/>
        <w:ind w:firstLine="656"/>
        <w:spacing w:after="0" w:line="286" w:lineRule="auto"/>
        <w:tabs>
          <w:tab w:leader="none" w:pos="1137"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(and any Hedging Agreement shall be deemed not to be a “Loan Document” for purposes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87" w:lineRule="auto"/>
        <w:tabs>
          <w:tab w:leader="none" w:pos="112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and subject to the proviso below in this paragraph, (x) with respect to a Loan denominated in dollars, if a Term SOFR Transition Event and its related Benchmark Replacement Date or (y) with respect to a Loan denominated in Euros, if a Term ESTR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(c) shall not be effective unless the Administrative Agent has delivered to the Lenders and the Company a Term SOFR Notice or a Term ESTR Notice, as applicable. For the avoidance of doubt, the Administrative Agent shall not be required to deliver any (x) Term SOFR Notice after the occurrence of a Term SOFR Transition Event or (y) Term ESTR Notice after the occurrence of a Term ESTR Transition Event, and may do so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28" w:right="339" w:bottom="1440" w:gutter="0" w:footer="0" w:header="0"/>
        </w:sectPr>
      </w:pPr>
    </w:p>
    <w:bookmarkStart w:id="159" w:name="page160"/>
    <w:bookmarkEnd w:id="159"/>
    <w:p>
      <w:pPr>
        <w:jc w:val="both"/>
        <w:ind w:firstLine="656"/>
        <w:spacing w:after="0" w:line="302" w:lineRule="auto"/>
        <w:tabs>
          <w:tab w:leader="none" w:pos="1161"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42" w:lineRule="exact"/>
        <w:rPr>
          <w:rFonts w:ascii="Arial" w:cs="Arial" w:eastAsia="Arial" w:hAnsi="Arial"/>
          <w:sz w:val="19"/>
          <w:szCs w:val="19"/>
          <w:color w:val="auto"/>
        </w:rPr>
      </w:pPr>
    </w:p>
    <w:p>
      <w:pPr>
        <w:jc w:val="both"/>
        <w:ind w:firstLine="656"/>
        <w:spacing w:after="0" w:line="258" w:lineRule="auto"/>
        <w:tabs>
          <w:tab w:leader="none" w:pos="1120"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The Administrative Agent will promptly notify the Company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21"/>
          <w:szCs w:val="21"/>
          <w:u w:val="single" w:color="auto"/>
          <w:color w:val="auto"/>
        </w:rPr>
        <w:t>Section 2.14</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firstLine="656"/>
        <w:spacing w:after="0" w:line="257" w:lineRule="auto"/>
        <w:tabs>
          <w:tab w:leader="none" w:pos="1277" w:val="left"/>
        </w:tabs>
        <w:numPr>
          <w:ilvl w:val="0"/>
          <w:numId w:val="89"/>
        </w:numPr>
        <w:rPr>
          <w:rFonts w:ascii="Arial" w:cs="Arial" w:eastAsia="Arial" w:hAnsi="Arial"/>
          <w:sz w:val="21"/>
          <w:szCs w:val="21"/>
          <w:color w:val="auto"/>
        </w:rPr>
      </w:pPr>
      <w:r>
        <w:rPr>
          <w:rFonts w:ascii="Arial" w:cs="Arial" w:eastAsia="Arial" w:hAnsi="Arial"/>
          <w:sz w:val="21"/>
          <w:szCs w:val="21"/>
          <w:color w:val="auto"/>
        </w:rPr>
        <w:t>Notwithstanding anything to the contrary herein or in any other Loan Document, at any time (including in connection with the implementation of a Benchmark Replacement), (i) if the then-current Benchmark is a term rate (including Term SOFR, Term ESTR, LIBO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0" w:lineRule="exact"/>
        <w:rPr>
          <w:rFonts w:ascii="Arial" w:cs="Arial" w:eastAsia="Arial" w:hAnsi="Arial"/>
          <w:sz w:val="21"/>
          <w:szCs w:val="21"/>
          <w:color w:val="auto"/>
        </w:rPr>
      </w:pPr>
    </w:p>
    <w:p>
      <w:pPr>
        <w:jc w:val="both"/>
        <w:ind w:firstLine="656"/>
        <w:spacing w:after="0" w:line="247" w:lineRule="auto"/>
        <w:tabs>
          <w:tab w:leader="none" w:pos="1156" w:val="left"/>
        </w:tabs>
        <w:numPr>
          <w:ilvl w:val="0"/>
          <w:numId w:val="89"/>
        </w:numPr>
        <w:rPr>
          <w:rFonts w:ascii="Arial" w:cs="Arial" w:eastAsia="Arial" w:hAnsi="Arial"/>
          <w:sz w:val="22"/>
          <w:szCs w:val="22"/>
          <w:color w:val="auto"/>
        </w:rPr>
      </w:pPr>
      <w:r>
        <w:rPr>
          <w:rFonts w:ascii="Arial" w:cs="Arial" w:eastAsia="Arial" w:hAnsi="Arial"/>
          <w:sz w:val="22"/>
          <w:szCs w:val="22"/>
          <w:color w:val="auto"/>
        </w:rPr>
        <w:t>Upon the Company’s receipt of notice of the commencement of a Benchmark Unavailability Period, the applicable Borrower may revoke any request for a Eurocurrency Borrowing of, conversion to or continuation of Eurocurrency Loans to be made, converted or continued during any Benchmark Unavailability Period and, failing that, either (x) such Borrower will be deemed to have converted any request for a Eurocurrency Borrowing denominated in dollars into a request for a Borrowing of or conversion to ABR Loans or (y) any Eurocurrency Borrowing denominated in an Alternative Currency shall be ineffective.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28" w:right="339" w:bottom="1440" w:gutter="0" w:footer="0" w:header="0"/>
        </w:sectPr>
      </w:pPr>
    </w:p>
    <w:bookmarkStart w:id="160" w:name="page161"/>
    <w:bookmarkEnd w:id="160"/>
    <w:p>
      <w:pPr>
        <w:jc w:val="both"/>
        <w:spacing w:after="0" w:line="286" w:lineRule="auto"/>
        <w:rPr>
          <w:sz w:val="20"/>
          <w:szCs w:val="20"/>
          <w:color w:val="auto"/>
        </w:rPr>
      </w:pPr>
      <w:r>
        <w:rPr>
          <w:rFonts w:ascii="Arial" w:cs="Arial" w:eastAsia="Arial" w:hAnsi="Arial"/>
          <w:sz w:val="19"/>
          <w:szCs w:val="19"/>
          <w:color w:val="auto"/>
        </w:rPr>
        <w:t xml:space="preserve">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Eurocurrency Loan in any Agreed Currency is outstanding on the date of the Company’s receipt of notice of the commencement of a Benchmark Unavailability Period with respect to a Relevant Rate applicable to such Eurocurrency Loan, then until such time as a Benchmark Replacement for such Agreed Currency is implemented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or (ii) if such Eurocurrency Loan is denominated in any Agreed Currency other than dollars, then such Loan shall, on the last day of the Interest Period applicable to such Loan (or the next succeeding Business Day if such day is not a Business Day), at the Company’s election prior to such day: (A) be prepaid by the applicable Borrower on such day or (B) solely for the purpose of calculating the interest rate applicable to such Eurocurrency Loan, such Eurocurrency Loan denominated in any Agreed Currency other than dollars shall be deemed to be a Eurocurrency Loan denominated in dollars and shall accrue interest at the same interest rate applicable to Eurocurrency Loans denominated in dollars at such time.</w:t>
      </w:r>
    </w:p>
    <w:p>
      <w:pPr>
        <w:spacing w:after="0" w:line="16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20" w:lineRule="exact"/>
        <w:rPr>
          <w:sz w:val="20"/>
          <w:szCs w:val="20"/>
          <w:color w:val="auto"/>
        </w:rPr>
      </w:pPr>
    </w:p>
    <w:p>
      <w:pPr>
        <w:ind w:left="1120" w:hanging="464"/>
        <w:spacing w:after="0"/>
        <w:tabs>
          <w:tab w:leader="none" w:pos="11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734" w:val="left"/>
        </w:tabs>
        <w:numPr>
          <w:ilvl w:val="1"/>
          <w:numId w:val="90"/>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Adjusted LIBO Rate or the Adjusted EURIBOR Rate, as applicable) or any Issuing Bank;</w:t>
      </w:r>
    </w:p>
    <w:p>
      <w:pPr>
        <w:spacing w:after="0" w:line="187" w:lineRule="exact"/>
        <w:rPr>
          <w:rFonts w:ascii="Arial" w:cs="Arial" w:eastAsia="Arial" w:hAnsi="Arial"/>
          <w:sz w:val="22"/>
          <w:szCs w:val="22"/>
          <w:color w:val="auto"/>
        </w:rPr>
      </w:pPr>
    </w:p>
    <w:p>
      <w:pPr>
        <w:jc w:val="both"/>
        <w:ind w:left="660" w:firstLine="644"/>
        <w:spacing w:after="0" w:line="253" w:lineRule="auto"/>
        <w:tabs>
          <w:tab w:leader="none" w:pos="1886" w:val="left"/>
        </w:tabs>
        <w:numPr>
          <w:ilvl w:val="1"/>
          <w:numId w:val="90"/>
        </w:numPr>
        <w:rPr>
          <w:rFonts w:ascii="Arial" w:cs="Arial" w:eastAsia="Arial" w:hAnsi="Arial"/>
          <w:sz w:val="22"/>
          <w:szCs w:val="22"/>
          <w:color w:val="auto"/>
        </w:rPr>
      </w:pPr>
      <w:r>
        <w:rPr>
          <w:rFonts w:ascii="Arial" w:cs="Arial" w:eastAsia="Arial" w:hAnsi="Arial"/>
          <w:sz w:val="22"/>
          <w:szCs w:val="22"/>
          <w:color w:val="auto"/>
        </w:rPr>
        <w:t>impose on any Lender or any Issuing Bank or the London interbank market any other condition, cost or expense (other than Taxes) affecting this Agreement or Loans made by such Lender or any Letter of Credit or participation therein; or</w:t>
      </w:r>
    </w:p>
    <w:p>
      <w:pPr>
        <w:spacing w:after="0" w:line="185" w:lineRule="exact"/>
        <w:rPr>
          <w:rFonts w:ascii="Arial" w:cs="Arial" w:eastAsia="Arial" w:hAnsi="Arial"/>
          <w:sz w:val="22"/>
          <w:szCs w:val="22"/>
          <w:color w:val="auto"/>
        </w:rPr>
      </w:pPr>
    </w:p>
    <w:p>
      <w:pPr>
        <w:jc w:val="both"/>
        <w:ind w:left="660" w:firstLine="644"/>
        <w:spacing w:after="0" w:line="312" w:lineRule="auto"/>
        <w:tabs>
          <w:tab w:leader="none" w:pos="1915" w:val="left"/>
        </w:tabs>
        <w:numPr>
          <w:ilvl w:val="1"/>
          <w:numId w:val="90"/>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(e) of the definition of Excluded Taxes and (C) Connection Income Taxes) in respect of its loans, letters of credit, commitments or other obligations, or its deposits, reserves, other liabilities or capital attributable thereto;</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Issuing Bank or such other Recipient of participating in, issuing or maintaining any Letter of Credit (or of maintaining its obligation to participate in or to issue any Letter of Credit) or to reduce the amount of any sum received or receivable by such Lender, such Issuing Bank or such other Recipient hereunder (whether of principal, interest or otherwise), then, from time to time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28" w:right="339" w:bottom="1440" w:gutter="0" w:footer="0" w:header="0"/>
        </w:sectPr>
      </w:pPr>
    </w:p>
    <w:bookmarkStart w:id="161" w:name="page162"/>
    <w:bookmarkEnd w:id="161"/>
    <w:p>
      <w:pPr>
        <w:jc w:val="both"/>
        <w:spacing w:after="0" w:line="271" w:lineRule="auto"/>
        <w:rPr>
          <w:sz w:val="20"/>
          <w:szCs w:val="20"/>
          <w:color w:val="auto"/>
        </w:rPr>
      </w:pPr>
      <w:r>
        <w:rPr>
          <w:rFonts w:ascii="Arial" w:cs="Arial" w:eastAsia="Arial" w:hAnsi="Arial"/>
          <w:sz w:val="21"/>
          <w:szCs w:val="21"/>
          <w:color w:val="auto"/>
        </w:rPr>
        <w:t>request of such Lender, such Issuing Bank or such other Recipient, the Borrowers will pay to such Lender, such Issuing Bank or such other Recipient, as applicable, such additional amount or amounts as will compensate such Lender, such Issuing Bank or such other Recipient, as applicable, for such additional costs or expenses incurred or reduction suffered.</w:t>
      </w:r>
    </w:p>
    <w:p>
      <w:pPr>
        <w:spacing w:after="0" w:line="167" w:lineRule="exact"/>
        <w:rPr>
          <w:sz w:val="20"/>
          <w:szCs w:val="20"/>
          <w:color w:val="auto"/>
        </w:rPr>
      </w:pPr>
    </w:p>
    <w:p>
      <w:pPr>
        <w:jc w:val="both"/>
        <w:ind w:firstLine="656"/>
        <w:spacing w:after="0" w:line="288" w:lineRule="auto"/>
        <w:tabs>
          <w:tab w:leader="none" w:pos="1175"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any Lender or any Issuing Bank determines that any Change in Law regarding capital or liquidity requirements has had or would 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upon the request of such Lender or such Issuing Bank, the Borrowers will pay to such Lender or such Issuing Bank, as applicable, such additional amount or amounts as will compensate such Lender or such Issuing Bank or such Lender’s or such Issuing Bank’s holding company for any such reduction suffered.</w:t>
      </w:r>
    </w:p>
    <w:p>
      <w:pPr>
        <w:spacing w:after="0" w:line="159" w:lineRule="exact"/>
        <w:rPr>
          <w:rFonts w:ascii="Arial" w:cs="Arial" w:eastAsia="Arial" w:hAnsi="Arial"/>
          <w:sz w:val="19"/>
          <w:szCs w:val="19"/>
          <w:color w:val="auto"/>
        </w:rPr>
      </w:pPr>
    </w:p>
    <w:p>
      <w:pPr>
        <w:jc w:val="both"/>
        <w:ind w:firstLine="656"/>
        <w:spacing w:after="0" w:line="248" w:lineRule="auto"/>
        <w:tabs>
          <w:tab w:leader="none" w:pos="1151"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A certificate of a Lender or an Issuing Bank setting forth in reasonable detail the amount or amounts necessary to compensate such Lender or such Issuing Bank or its holding company, as applicable, as specified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and the calculation thereof shall be delivered to the Company and shall be conclusive absent manifest error. The Borrowers shall pay such Lender or such Issuing Bank, as applicable, the amount shown as due on any such certificate within 30 days after receipt thereof.</w:t>
      </w:r>
    </w:p>
    <w:p>
      <w:pPr>
        <w:spacing w:after="0" w:line="191" w:lineRule="exact"/>
        <w:rPr>
          <w:rFonts w:ascii="Arial" w:cs="Arial" w:eastAsia="Arial" w:hAnsi="Arial"/>
          <w:sz w:val="22"/>
          <w:szCs w:val="22"/>
          <w:color w:val="auto"/>
        </w:rPr>
      </w:pPr>
    </w:p>
    <w:p>
      <w:pPr>
        <w:jc w:val="both"/>
        <w:ind w:firstLine="656"/>
        <w:spacing w:after="0" w:line="259" w:lineRule="auto"/>
        <w:tabs>
          <w:tab w:leader="none" w:pos="1186"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Borrowers shall not be required to compensate a Lender or an Issuing Bank pursuant to this Section for any increased costs or expenses incurred or reductions suffered more than 180 days prior to the date that such Lender or such Issuing Bank, as applicable, notifies the Company of the Change in Law giving rise to such increased costs or expenses or reductions and of such Lender’s or such Issuing Bank’s intention to claim compensation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Change in Law giving rise to such increased costs or expenses or reductions is retroactive, then the 180-day period referred to above shall be extended to include the period of retroactive effect thereof.</w:t>
      </w:r>
    </w:p>
    <w:p>
      <w:pPr>
        <w:spacing w:after="0" w:line="183" w:lineRule="exact"/>
        <w:rPr>
          <w:rFonts w:ascii="Arial" w:cs="Arial" w:eastAsia="Arial" w:hAnsi="Arial"/>
          <w:sz w:val="21"/>
          <w:szCs w:val="21"/>
          <w:color w:val="auto"/>
        </w:rPr>
      </w:pPr>
    </w:p>
    <w:p>
      <w:pPr>
        <w:jc w:val="both"/>
        <w:ind w:firstLine="656"/>
        <w:spacing w:after="0" w:line="312" w:lineRule="auto"/>
        <w:tabs>
          <w:tab w:leader="none" w:pos="1109"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Notwithstanding any other provision of this Section, no Lender shall demand compensation for any increased cost or reduction pursuant to this Section unless such Lender has certified in writing to the Company that it is the general policy or practice of such Lender to demand such compensation in similar circumstances from similarly-situated borrowers.</w:t>
      </w:r>
    </w:p>
    <w:p>
      <w:pPr>
        <w:spacing w:after="0" w:line="13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In the event of (a) the 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8" w:right="339" w:bottom="1440" w:gutter="0" w:footer="0" w:header="0"/>
        </w:sectPr>
      </w:pPr>
    </w:p>
    <w:bookmarkStart w:id="162" w:name="page163"/>
    <w:bookmarkEnd w:id="162"/>
    <w:p>
      <w:pPr>
        <w:jc w:val="both"/>
        <w:spacing w:after="0" w:line="286" w:lineRule="auto"/>
        <w:rPr>
          <w:sz w:val="20"/>
          <w:szCs w:val="20"/>
          <w:color w:val="auto"/>
        </w:rPr>
      </w:pPr>
      <w:r>
        <w:rPr>
          <w:rFonts w:ascii="Arial" w:cs="Arial" w:eastAsia="Arial" w:hAnsi="Arial"/>
          <w:sz w:val="19"/>
          <w:szCs w:val="19"/>
          <w:color w:val="auto"/>
        </w:rPr>
        <w:t xml:space="preserve">convert, continue or prepay any Eurocurrency Loan on the date specified in any notice delivered pursuant hereto (whether or not such notice may be revoked in accordance with the terms hereof) or (d) the assignment of any Eurocurrency Loan other than on the last day of the Interest Period applicable thereto as a result of a request by the Company pursuant to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then, in any such event, the Borrowers shall compensate each Lender for the loss, cost and expense attributable to such event. In the case of a Eurocurrency Loan, such loss, cost or expense to any Lender shall be deemed to include an amount determined by such Lender to be the excess, if any, of (i) the amount of interest that would have accrued on the principal amount of such Loan had such event not occurred, at the Adjusted LIBO Rate or the Adjusted EURIBOR Rate, as applicable,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London interbank market. A certificate of any Lender setting forth in reasonable detail any amount or amounts that such Lender is entitled to receive pursuant to this Section, and showing the calculation thereof, shall be delivered to the Company and shall be conclusive absent manifest error. The Borrowers shall pay such Lender the amount shown as due on any such certificate within 30 days after receipt thereof.</w:t>
      </w:r>
    </w:p>
    <w:p>
      <w:pPr>
        <w:spacing w:after="0" w:line="15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0" w:lineRule="exact"/>
        <w:rPr>
          <w:sz w:val="20"/>
          <w:szCs w:val="20"/>
          <w:color w:val="auto"/>
        </w:rPr>
      </w:pPr>
    </w:p>
    <w:p>
      <w:pPr>
        <w:jc w:val="both"/>
        <w:ind w:firstLine="656"/>
        <w:spacing w:after="0" w:line="288" w:lineRule="auto"/>
        <w:tabs>
          <w:tab w:leader="none" w:pos="1117"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Payment Free of Taxes</w:t>
      </w:r>
      <w:r>
        <w:rPr>
          <w:rFonts w:ascii="Arial" w:cs="Arial" w:eastAsia="Arial" w:hAnsi="Arial"/>
          <w:sz w:val="19"/>
          <w:szCs w:val="19"/>
          <w:color w:val="auto"/>
        </w:rPr>
        <w:t xml:space="preserve">. All payments by or on account of any obligation of any Loan Party under this Agreement or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applicable Lender (or, in the case of a payment made to the Administrative Agent for its own account, the Administrative Agent) receives an amount equal to the sum it would have received had no such deduction or withholding been made.</w:t>
      </w:r>
    </w:p>
    <w:p>
      <w:pPr>
        <w:spacing w:after="0" w:line="159" w:lineRule="exact"/>
        <w:rPr>
          <w:rFonts w:ascii="Arial" w:cs="Arial" w:eastAsia="Arial" w:hAnsi="Arial"/>
          <w:sz w:val="19"/>
          <w:szCs w:val="19"/>
          <w:color w:val="auto"/>
        </w:rPr>
      </w:pPr>
    </w:p>
    <w:p>
      <w:pPr>
        <w:jc w:val="both"/>
        <w:ind w:firstLine="656"/>
        <w:spacing w:after="0" w:line="253" w:lineRule="auto"/>
        <w:tabs>
          <w:tab w:leader="none" w:pos="1237"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Loan Parties</w:t>
      </w:r>
      <w:r>
        <w:rPr>
          <w:rFonts w:ascii="Arial" w:cs="Arial" w:eastAsia="Arial" w:hAnsi="Arial"/>
          <w:sz w:val="22"/>
          <w:szCs w:val="22"/>
          <w:color w:val="auto"/>
        </w:rPr>
        <w:t>. The Loan Parties shall timely pay to the relevant Governmental Authority in accordance with applicable law, or at the option of the Administrative Agent reimburse it for the payment of, any Other Taxes.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9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Evidence of Payment</w:t>
      </w:r>
      <w:r>
        <w:rPr>
          <w:rFonts w:ascii="Arial" w:cs="Arial" w:eastAsia="Arial" w:hAnsi="Arial"/>
          <w:sz w:val="22"/>
          <w:szCs w:val="22"/>
          <w:color w:val="auto"/>
        </w:rPr>
        <w:t xml:space="preserve">. As soon as practicable after any payment of Taxes by any Loan Party to a Governmental Authority pursuant to this </w:t>
      </w:r>
      <w:r>
        <w:rPr>
          <w:rFonts w:ascii="Arial" w:cs="Arial" w:eastAsia="Arial" w:hAnsi="Arial"/>
          <w:sz w:val="22"/>
          <w:szCs w:val="22"/>
          <w:u w:val="single" w:color="auto"/>
          <w:color w:val="auto"/>
        </w:rPr>
        <w:t>Section 2.17</w:t>
      </w:r>
      <w:r>
        <w:rPr>
          <w:rFonts w:ascii="Arial" w:cs="Arial" w:eastAsia="Arial" w:hAnsi="Arial"/>
          <w:sz w:val="22"/>
          <w:szCs w:val="22"/>
          <w:color w:val="auto"/>
        </w:rPr>
        <w:t>, such Loan Party shall deliver to the Administrative Agent the original or a certified copy of a receipt issued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8" w:right="339" w:bottom="1440" w:gutter="0" w:footer="0" w:header="0"/>
        </w:sectPr>
      </w:pPr>
    </w:p>
    <w:bookmarkStart w:id="163" w:name="page164"/>
    <w:bookmarkEnd w:id="163"/>
    <w:p>
      <w:pPr>
        <w:spacing w:after="0" w:line="263" w:lineRule="auto"/>
        <w:rPr>
          <w:sz w:val="20"/>
          <w:szCs w:val="20"/>
          <w:color w:val="auto"/>
        </w:rPr>
      </w:pPr>
      <w:r>
        <w:rPr>
          <w:rFonts w:ascii="Arial" w:cs="Arial" w:eastAsia="Arial" w:hAnsi="Arial"/>
          <w:sz w:val="22"/>
          <w:szCs w:val="22"/>
          <w:color w:val="auto"/>
        </w:rPr>
        <w:t>Governmental Authority evidencing such payment, a copy of the return reporting such payment or other evidence of such payment reasonably satisfactory to the Administrative Agent.</w:t>
      </w:r>
    </w:p>
    <w:p>
      <w:pPr>
        <w:spacing w:after="0" w:line="175" w:lineRule="exact"/>
        <w:rPr>
          <w:sz w:val="20"/>
          <w:szCs w:val="20"/>
          <w:color w:val="auto"/>
        </w:rPr>
      </w:pPr>
    </w:p>
    <w:p>
      <w:pPr>
        <w:jc w:val="both"/>
        <w:ind w:firstLine="656"/>
        <w:spacing w:after="0" w:line="292" w:lineRule="auto"/>
        <w:tabs>
          <w:tab w:leader="none" w:pos="115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Indemnification by the Loan Parties</w:t>
      </w:r>
      <w:r>
        <w:rPr>
          <w:rFonts w:ascii="Arial" w:cs="Arial" w:eastAsia="Arial" w:hAnsi="Arial"/>
          <w:sz w:val="19"/>
          <w:szCs w:val="19"/>
          <w:color w:val="auto"/>
        </w:rPr>
        <w:t xml:space="preserve">. The Loan Parties shall jointly and severally indemnify each Recipient, within 10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50" w:lineRule="exact"/>
        <w:rPr>
          <w:rFonts w:ascii="Arial" w:cs="Arial" w:eastAsia="Arial" w:hAnsi="Arial"/>
          <w:sz w:val="19"/>
          <w:szCs w:val="19"/>
          <w:color w:val="auto"/>
        </w:rPr>
      </w:pPr>
    </w:p>
    <w:p>
      <w:pPr>
        <w:ind w:left="1120" w:hanging="464"/>
        <w:spacing w:after="0"/>
        <w:tabs>
          <w:tab w:leader="none" w:pos="112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Status of Lenders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86" w:lineRule="auto"/>
        <w:tabs>
          <w:tab w:leader="none" w:pos="1747"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this Agreement or any other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a Lender that is not qualified for full exemption from U.S. withholding tax at the time it becomes a Lender shall not be entitled to any gross-up or indemnity for any U.S. withholding tax resulting from any change in law.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2.17(e)(ii)(A)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2.17(e)(ii)(B)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2.17(e)(ii)(D)</w:t>
      </w:r>
      <w:r>
        <w:rPr>
          <w:rFonts w:ascii="Arial" w:cs="Arial" w:eastAsia="Arial" w:hAnsi="Arial"/>
          <w:sz w:val="19"/>
          <w:szCs w:val="19"/>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780" w:hanging="476"/>
        <w:spacing w:after="0"/>
        <w:tabs>
          <w:tab w:leader="none" w:pos="1780" w:val="left"/>
        </w:tabs>
        <w:numPr>
          <w:ilvl w:val="1"/>
          <w:numId w:val="93"/>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19" w:lineRule="exact"/>
        <w:rPr>
          <w:rFonts w:ascii="Arial" w:cs="Arial" w:eastAsia="Arial" w:hAnsi="Arial"/>
          <w:sz w:val="22"/>
          <w:szCs w:val="22"/>
          <w:color w:val="auto"/>
        </w:rPr>
      </w:pPr>
    </w:p>
    <w:p>
      <w:pPr>
        <w:jc w:val="both"/>
        <w:ind w:left="1300" w:firstLine="652"/>
        <w:spacing w:after="0" w:line="265" w:lineRule="auto"/>
        <w:tabs>
          <w:tab w:leader="none" w:pos="2523" w:val="left"/>
        </w:tabs>
        <w:numPr>
          <w:ilvl w:val="2"/>
          <w:numId w:val="93"/>
        </w:numPr>
        <w:rPr>
          <w:rFonts w:ascii="Arial" w:cs="Arial" w:eastAsia="Arial" w:hAnsi="Arial"/>
          <w:sz w:val="21"/>
          <w:szCs w:val="21"/>
          <w:color w:val="auto"/>
        </w:rPr>
      </w:pPr>
      <w:r>
        <w:rPr>
          <w:rFonts w:ascii="Arial" w:cs="Arial" w:eastAsia="Arial" w:hAnsi="Arial"/>
          <w:sz w:val="21"/>
          <w:szCs w:val="21"/>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28" w:right="339" w:bottom="1440" w:gutter="0" w:footer="0" w:header="0"/>
        </w:sectPr>
      </w:pPr>
    </w:p>
    <w:bookmarkStart w:id="164" w:name="page165"/>
    <w:bookmarkEnd w:id="164"/>
    <w:p>
      <w:pPr>
        <w:jc w:val="both"/>
        <w:ind w:left="180" w:firstLine="652"/>
        <w:spacing w:after="0" w:line="250" w:lineRule="auto"/>
        <w:tabs>
          <w:tab w:leader="none" w:pos="1346" w:val="left"/>
        </w:tabs>
        <w:numPr>
          <w:ilvl w:val="0"/>
          <w:numId w:val="94"/>
        </w:numPr>
        <w:rPr>
          <w:rFonts w:ascii="Arial" w:cs="Arial" w:eastAsia="Arial" w:hAnsi="Arial"/>
          <w:sz w:val="22"/>
          <w:szCs w:val="22"/>
          <w:color w:val="auto"/>
        </w:rPr>
      </w:pPr>
      <w:r>
        <w:rPr>
          <w:rFonts w:ascii="Arial" w:cs="Arial" w:eastAsia="Arial" w:hAnsi="Arial"/>
          <w:sz w:val="22"/>
          <w:szCs w:val="22"/>
          <w:color w:val="auto"/>
        </w:rPr>
        <w:t>each Foreign Lender, to the extent it is legally entitled to do so, shall deliver to the Company and the Administrative Agent on or prior to the date on which such Foreign Lender becomes a Lender under this Agreement (and from time to time thereafter upon the reasonable request of the Company or the Administrative Agent), two of whichever of the following is applicable:</w:t>
      </w:r>
    </w:p>
    <w:p>
      <w:pPr>
        <w:spacing w:after="0" w:line="187" w:lineRule="exact"/>
        <w:rPr>
          <w:rFonts w:ascii="Arial" w:cs="Arial" w:eastAsia="Arial" w:hAnsi="Arial"/>
          <w:sz w:val="22"/>
          <w:szCs w:val="22"/>
          <w:color w:val="auto"/>
        </w:rPr>
      </w:pPr>
    </w:p>
    <w:p>
      <w:pPr>
        <w:jc w:val="both"/>
        <w:ind w:left="840" w:firstLine="640"/>
        <w:spacing w:after="0" w:line="271" w:lineRule="auto"/>
        <w:tabs>
          <w:tab w:leader="none" w:pos="2041" w:val="left"/>
        </w:tabs>
        <w:numPr>
          <w:ilvl w:val="1"/>
          <w:numId w:val="94"/>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executed copies of IRS Form W-8BEN or IRS Form W-8BEN-E (as applicable) establishing an exemption from U.S. federal withholding Tax pursuant to such tax treaty;</w:t>
      </w:r>
    </w:p>
    <w:p>
      <w:pPr>
        <w:spacing w:after="0" w:line="167" w:lineRule="exact"/>
        <w:rPr>
          <w:rFonts w:ascii="Arial" w:cs="Arial" w:eastAsia="Arial" w:hAnsi="Arial"/>
          <w:sz w:val="21"/>
          <w:szCs w:val="21"/>
          <w:color w:val="auto"/>
        </w:rPr>
      </w:pPr>
    </w:p>
    <w:p>
      <w:pPr>
        <w:ind w:left="1940" w:hanging="460"/>
        <w:spacing w:after="0"/>
        <w:tabs>
          <w:tab w:leader="none" w:pos="19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219" w:lineRule="exact"/>
        <w:rPr>
          <w:rFonts w:ascii="Arial" w:cs="Arial" w:eastAsia="Arial" w:hAnsi="Arial"/>
          <w:sz w:val="22"/>
          <w:szCs w:val="22"/>
          <w:color w:val="auto"/>
        </w:rPr>
      </w:pPr>
    </w:p>
    <w:p>
      <w:pPr>
        <w:jc w:val="both"/>
        <w:ind w:left="840" w:firstLine="640"/>
        <w:spacing w:after="0" w:line="294" w:lineRule="auto"/>
        <w:tabs>
          <w:tab w:leader="none" w:pos="2016"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I-1</w:t>
      </w:r>
      <w:r>
        <w:rPr>
          <w:rFonts w:ascii="Arial" w:cs="Arial" w:eastAsia="Arial" w:hAnsi="Arial"/>
          <w:sz w:val="19"/>
          <w:szCs w:val="19"/>
          <w:color w:val="auto"/>
        </w:rPr>
        <w:t xml:space="preserve"> to the effect that such Foreign Lender is not a “bank” within the meaning of Section 881(c)(3)(A) of the Code, a “10-percent shareholder” of the Borrowers within the meaning of Section 871(h)(3)(B) of the Code or a “controlled foreign corporation” described in Section 881(c)(3)(C) of the Code (a “</w:t>
      </w:r>
      <w:r>
        <w:rPr>
          <w:rFonts w:ascii="Arial" w:cs="Arial" w:eastAsia="Arial" w:hAnsi="Arial"/>
          <w:sz w:val="19"/>
          <w:szCs w:val="19"/>
          <w:u w:val="single" w:color="auto"/>
          <w:color w:val="auto"/>
        </w:rPr>
        <w:t>U.S. Tax Compliance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Certificate</w:t>
      </w:r>
      <w:r>
        <w:rPr>
          <w:rFonts w:ascii="Arial" w:cs="Arial" w:eastAsia="Arial" w:hAnsi="Arial"/>
          <w:sz w:val="19"/>
          <w:szCs w:val="19"/>
          <w:color w:val="auto"/>
        </w:rPr>
        <w:t>”) and (y) executed copies of IRS Form W-8BEN or W-8BEN-E (as applicable); or</w:t>
      </w:r>
    </w:p>
    <w:p>
      <w:pPr>
        <w:spacing w:after="0" w:line="149" w:lineRule="exact"/>
        <w:rPr>
          <w:rFonts w:ascii="Arial" w:cs="Arial" w:eastAsia="Arial" w:hAnsi="Arial"/>
          <w:sz w:val="19"/>
          <w:szCs w:val="19"/>
          <w:color w:val="auto"/>
        </w:rPr>
      </w:pPr>
    </w:p>
    <w:p>
      <w:pPr>
        <w:jc w:val="both"/>
        <w:ind w:left="840" w:firstLine="640"/>
        <w:spacing w:after="0" w:line="290" w:lineRule="auto"/>
        <w:tabs>
          <w:tab w:leader="none" w:pos="1971"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(for example, where the Lender is a partnership, or is a participating Lender), executed copies of IRS Form W-8IMY, accompanied by IRS Form W-8ECI, IRS Form W-8BEN or W-8BEN-E (as applicable), a U.S. Tax Compliance Certificate substantially in the form of </w:t>
      </w:r>
      <w:r>
        <w:rPr>
          <w:rFonts w:ascii="Arial" w:cs="Arial" w:eastAsia="Arial" w:hAnsi="Arial"/>
          <w:sz w:val="19"/>
          <w:szCs w:val="19"/>
          <w:u w:val="single" w:color="auto"/>
          <w:color w:val="auto"/>
        </w:rPr>
        <w:t>Exhibit I-2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I-3</w:t>
      </w:r>
      <w:r>
        <w:rPr>
          <w:rFonts w:ascii="Arial" w:cs="Arial" w:eastAsia="Arial" w:hAnsi="Arial"/>
          <w:sz w:val="19"/>
          <w:szCs w:val="19"/>
          <w:color w:val="auto"/>
        </w:rPr>
        <w:t xml:space="preserve">, IRS Form W-9 and/or another certification document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I-4</w:t>
      </w:r>
      <w:r>
        <w:rPr>
          <w:rFonts w:ascii="Arial" w:cs="Arial" w:eastAsia="Arial" w:hAnsi="Arial"/>
          <w:sz w:val="19"/>
          <w:szCs w:val="19"/>
          <w:color w:val="auto"/>
        </w:rPr>
        <w:t xml:space="preserve"> on behalf of each such direct or indirect partner;</w:t>
      </w:r>
    </w:p>
    <w:p>
      <w:pPr>
        <w:spacing w:after="0" w:line="155" w:lineRule="exact"/>
        <w:rPr>
          <w:rFonts w:ascii="Arial" w:cs="Arial" w:eastAsia="Arial" w:hAnsi="Arial"/>
          <w:sz w:val="19"/>
          <w:szCs w:val="19"/>
          <w:color w:val="auto"/>
        </w:rPr>
      </w:pPr>
    </w:p>
    <w:p>
      <w:pPr>
        <w:jc w:val="both"/>
        <w:ind w:left="180" w:firstLine="652"/>
        <w:spacing w:after="0" w:line="261" w:lineRule="auto"/>
        <w:tabs>
          <w:tab w:leader="none" w:pos="1360" w:val="left"/>
        </w:tabs>
        <w:numPr>
          <w:ilvl w:val="0"/>
          <w:numId w:val="94"/>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eligible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0120"/>
          </w:cols>
          <w:pgMar w:left="1440" w:top="1428" w:right="339" w:bottom="1440" w:gutter="0" w:footer="0" w:header="0"/>
        </w:sectPr>
      </w:pPr>
    </w:p>
    <w:bookmarkStart w:id="165" w:name="page166"/>
    <w:bookmarkEnd w:id="165"/>
    <w:p>
      <w:pPr>
        <w:ind w:left="1300" w:right="20"/>
        <w:spacing w:after="0" w:line="263" w:lineRule="auto"/>
        <w:rPr>
          <w:sz w:val="20"/>
          <w:szCs w:val="20"/>
          <w:color w:val="auto"/>
        </w:rPr>
      </w:pPr>
      <w:r>
        <w:rPr>
          <w:rFonts w:ascii="Arial" w:cs="Arial" w:eastAsia="Arial" w:hAnsi="Arial"/>
          <w:sz w:val="22"/>
          <w:szCs w:val="22"/>
          <w:color w:val="auto"/>
        </w:rPr>
        <w:t>prescribed by applicable law to permit the Company or the Administrative Agent to determine the withholding or deduction required to be made; and</w:t>
      </w:r>
    </w:p>
    <w:p>
      <w:pPr>
        <w:spacing w:after="0" w:line="175" w:lineRule="exact"/>
        <w:rPr>
          <w:sz w:val="20"/>
          <w:szCs w:val="20"/>
          <w:color w:val="auto"/>
        </w:rPr>
      </w:pPr>
    </w:p>
    <w:p>
      <w:pPr>
        <w:jc w:val="both"/>
        <w:ind w:left="1300" w:firstLine="652"/>
        <w:spacing w:after="0" w:line="287" w:lineRule="auto"/>
        <w:tabs>
          <w:tab w:leader="none" w:pos="249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a payment made to a Lender under this Agreement or any other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to determine whether such Lender has complied with such Lender’s obligations under FATCA and to determine the amount, if any, to deduct and withhold from such payment. Solely for purposes of this clause (D), “FATCA” shall include any amendments made to FATCA after the Effective Date.</w:t>
      </w:r>
    </w:p>
    <w:p>
      <w:pPr>
        <w:spacing w:after="0" w:line="16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Each Lender agrees that if any documentation it previously delivered expires or becomes obsolete or inaccurate in any respect, it shall update such documentation or promptly notify the Company and the Administrative Agent in writing of its legal ineligibility to do so. Notwithstanding any other provision of this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a Lender shall not be required to provide any documentation pursuant to this </w:t>
      </w:r>
      <w:r>
        <w:rPr>
          <w:rFonts w:ascii="Arial" w:cs="Arial" w:eastAsia="Arial" w:hAnsi="Arial"/>
          <w:sz w:val="21"/>
          <w:szCs w:val="21"/>
          <w:u w:val="single" w:color="auto"/>
          <w:color w:val="auto"/>
        </w:rPr>
        <w:t>Section 2.17(e)</w:t>
      </w:r>
      <w:r>
        <w:rPr>
          <w:rFonts w:ascii="Arial" w:cs="Arial" w:eastAsia="Arial" w:hAnsi="Arial"/>
          <w:sz w:val="21"/>
          <w:szCs w:val="21"/>
          <w:color w:val="auto"/>
        </w:rPr>
        <w:t xml:space="preserve"> that such Lender is not legally eligible to provide.</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Each Lender hereby authorizes the Administrative Agent to deliver to the Loan Parties and to any successor Administrative Agent any documentation provided by such Lender to the Administrative Agent pursuant to this </w:t>
      </w:r>
      <w:r>
        <w:rPr>
          <w:rFonts w:ascii="Arial" w:cs="Arial" w:eastAsia="Arial" w:hAnsi="Arial"/>
          <w:sz w:val="19"/>
          <w:szCs w:val="19"/>
          <w:u w:val="single" w:color="auto"/>
          <w:color w:val="auto"/>
        </w:rPr>
        <w:t>Section 2.17(e)</w:t>
      </w:r>
      <w:r>
        <w:rPr>
          <w:rFonts w:ascii="Arial" w:cs="Arial" w:eastAsia="Arial" w:hAnsi="Arial"/>
          <w:sz w:val="19"/>
          <w:szCs w:val="19"/>
          <w:color w:val="auto"/>
        </w:rPr>
        <w:t>.</w:t>
      </w:r>
    </w:p>
    <w:p>
      <w:pPr>
        <w:spacing w:after="0" w:line="104"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Additional United Kingdom Withholding Tax Matters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797" w:val="left"/>
        </w:tabs>
        <w:numPr>
          <w:ilvl w:val="1"/>
          <w:numId w:val="96"/>
        </w:numPr>
        <w:rPr>
          <w:rFonts w:ascii="Arial" w:cs="Arial" w:eastAsia="Arial" w:hAnsi="Arial"/>
          <w:sz w:val="22"/>
          <w:szCs w:val="22"/>
          <w:color w:val="auto"/>
        </w:rPr>
      </w:pPr>
      <w:r>
        <w:rPr>
          <w:rFonts w:ascii="Arial" w:cs="Arial" w:eastAsia="Arial" w:hAnsi="Arial"/>
          <w:sz w:val="22"/>
          <w:szCs w:val="22"/>
          <w:color w:val="auto"/>
        </w:rPr>
        <w:t>Subject to (ii) below, each UK Treaty Lender and each UK Borrower which makes a payment to such UK Treaty Lender shall cooperate in completing any procedural formalities necessary for such UK Borrower to obtain authorization to make such payment without UK Withholding Tax.</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807" w:val="left"/>
        </w:tabs>
        <w:numPr>
          <w:ilvl w:val="1"/>
          <w:numId w:val="96"/>
        </w:numPr>
        <w:rPr>
          <w:rFonts w:ascii="Arial" w:cs="Arial" w:eastAsia="Arial" w:hAnsi="Arial"/>
          <w:sz w:val="22"/>
          <w:szCs w:val="22"/>
          <w:color w:val="auto"/>
        </w:rPr>
      </w:pPr>
      <w:r>
        <w:rPr>
          <w:rFonts w:ascii="Arial" w:cs="Arial" w:eastAsia="Arial" w:hAnsi="Arial"/>
          <w:sz w:val="22"/>
          <w:szCs w:val="22"/>
          <w:color w:val="auto"/>
        </w:rPr>
        <w:t xml:space="preserve">(A) A Lender which becomes a Lender hereunder on the Effective Date that (x) holds a passport under the HM Revenue &amp; Customs DT Treaty Passport scheme and (y) wishes such scheme to apply to this Agreement, shall provide its scheme reference number and its jurisdiction of tax residence to each UK Borrower and the Administrative Agent in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hereto; and</w:t>
      </w:r>
    </w:p>
    <w:p>
      <w:pPr>
        <w:spacing w:after="0" w:line="187" w:lineRule="exact"/>
        <w:rPr>
          <w:rFonts w:ascii="Arial" w:cs="Arial" w:eastAsia="Arial" w:hAnsi="Arial"/>
          <w:sz w:val="22"/>
          <w:szCs w:val="22"/>
          <w:color w:val="auto"/>
        </w:rPr>
      </w:pPr>
    </w:p>
    <w:p>
      <w:pPr>
        <w:ind w:left="1300" w:right="20" w:firstLine="652"/>
        <w:spacing w:after="0" w:line="263" w:lineRule="auto"/>
        <w:tabs>
          <w:tab w:leader="none" w:pos="2503" w:val="left"/>
        </w:tabs>
        <w:numPr>
          <w:ilvl w:val="2"/>
          <w:numId w:val="96"/>
        </w:numPr>
        <w:rPr>
          <w:rFonts w:ascii="Arial" w:cs="Arial" w:eastAsia="Arial" w:hAnsi="Arial"/>
          <w:sz w:val="22"/>
          <w:szCs w:val="22"/>
          <w:color w:val="auto"/>
        </w:rPr>
      </w:pPr>
      <w:r>
        <w:rPr>
          <w:rFonts w:ascii="Arial" w:cs="Arial" w:eastAsia="Arial" w:hAnsi="Arial"/>
          <w:sz w:val="22"/>
          <w:szCs w:val="22"/>
          <w:color w:val="auto"/>
        </w:rPr>
        <w:t>a Lender which becomes a Lender hereunder after the day on which this Agreement closes that (x) holds a passport under the HM Revenue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8" w:right="339" w:bottom="1440" w:gutter="0" w:footer="0" w:header="0"/>
        </w:sectPr>
      </w:pPr>
    </w:p>
    <w:bookmarkStart w:id="166" w:name="page167"/>
    <w:bookmarkEnd w:id="166"/>
    <w:p>
      <w:pPr>
        <w:jc w:val="both"/>
        <w:ind w:left="180"/>
        <w:spacing w:after="0" w:line="271" w:lineRule="auto"/>
        <w:rPr>
          <w:sz w:val="20"/>
          <w:szCs w:val="20"/>
          <w:color w:val="auto"/>
        </w:rPr>
      </w:pPr>
      <w:r>
        <w:rPr>
          <w:rFonts w:ascii="Arial" w:cs="Arial" w:eastAsia="Arial" w:hAnsi="Arial"/>
          <w:sz w:val="21"/>
          <w:szCs w:val="21"/>
          <w:color w:val="auto"/>
        </w:rPr>
        <w:t>Customs DT Treaty Passport scheme and (y) wishes such scheme to apply to this Agreement, shall provide its scheme reference number and its jurisdiction of tax residence to each UK Borrower and the Administrative Agent in the documentation which it executes on becoming a party as a Lender, and</w:t>
      </w:r>
    </w:p>
    <w:p>
      <w:pPr>
        <w:spacing w:after="0" w:line="167" w:lineRule="exact"/>
        <w:rPr>
          <w:sz w:val="20"/>
          <w:szCs w:val="20"/>
          <w:color w:val="auto"/>
        </w:rPr>
      </w:pPr>
    </w:p>
    <w:p>
      <w:pPr>
        <w:ind w:left="180" w:firstLine="652"/>
        <w:spacing w:after="0" w:line="263" w:lineRule="auto"/>
        <w:tabs>
          <w:tab w:leader="none" w:pos="1366" w:val="left"/>
        </w:tabs>
        <w:numPr>
          <w:ilvl w:val="1"/>
          <w:numId w:val="97"/>
        </w:numPr>
        <w:rPr>
          <w:rFonts w:ascii="Arial" w:cs="Arial" w:eastAsia="Arial" w:hAnsi="Arial"/>
          <w:sz w:val="22"/>
          <w:szCs w:val="22"/>
          <w:color w:val="auto"/>
        </w:rPr>
      </w:pPr>
      <w:r>
        <w:rPr>
          <w:rFonts w:ascii="Arial" w:cs="Arial" w:eastAsia="Arial" w:hAnsi="Arial"/>
          <w:sz w:val="22"/>
          <w:szCs w:val="22"/>
          <w:color w:val="auto"/>
        </w:rPr>
        <w:t xml:space="preserve">Upon satisfying either clause (A) or (B) above, such Lender shall have satisfied its obligation under </w:t>
      </w:r>
      <w:r>
        <w:rPr>
          <w:rFonts w:ascii="Arial" w:cs="Arial" w:eastAsia="Arial" w:hAnsi="Arial"/>
          <w:sz w:val="22"/>
          <w:szCs w:val="22"/>
          <w:u w:val="single" w:color="auto"/>
          <w:color w:val="auto"/>
        </w:rPr>
        <w:t>paragraphs (e)(i) and (f)(i)</w:t>
      </w:r>
      <w:r>
        <w:rPr>
          <w:rFonts w:ascii="Arial" w:cs="Arial" w:eastAsia="Arial" w:hAnsi="Arial"/>
          <w:sz w:val="22"/>
          <w:szCs w:val="22"/>
          <w:color w:val="auto"/>
        </w:rPr>
        <w:t xml:space="preserve"> above.</w:t>
      </w:r>
    </w:p>
    <w:p>
      <w:pPr>
        <w:spacing w:after="0" w:line="174" w:lineRule="exact"/>
        <w:rPr>
          <w:rFonts w:ascii="Arial" w:cs="Arial" w:eastAsia="Arial" w:hAnsi="Arial"/>
          <w:sz w:val="22"/>
          <w:szCs w:val="22"/>
          <w:color w:val="auto"/>
        </w:rPr>
      </w:pPr>
    </w:p>
    <w:p>
      <w:pPr>
        <w:jc w:val="both"/>
        <w:ind w:left="-460" w:firstLine="644"/>
        <w:spacing w:after="0" w:line="253" w:lineRule="auto"/>
        <w:tabs>
          <w:tab w:leader="none" w:pos="785"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If a Lender has confirmed its scheme reference number and its jurisdiction of tax residence in accordance with </w:t>
      </w:r>
      <w:r>
        <w:rPr>
          <w:rFonts w:ascii="Arial" w:cs="Arial" w:eastAsia="Arial" w:hAnsi="Arial"/>
          <w:sz w:val="22"/>
          <w:szCs w:val="22"/>
          <w:u w:val="single" w:color="auto"/>
          <w:color w:val="auto"/>
        </w:rPr>
        <w:t>paragraph (f)(ii)</w:t>
      </w:r>
      <w:r>
        <w:rPr>
          <w:rFonts w:ascii="Arial" w:cs="Arial" w:eastAsia="Arial" w:hAnsi="Arial"/>
          <w:sz w:val="22"/>
          <w:szCs w:val="22"/>
          <w:color w:val="auto"/>
        </w:rPr>
        <w:t xml:space="preserve"> above, each UK Borrower shall make a Borrower DTTP Filing with respect to such Lender; provided that, if:</w:t>
      </w:r>
    </w:p>
    <w:p>
      <w:pPr>
        <w:spacing w:after="0" w:line="185" w:lineRule="exact"/>
        <w:rPr>
          <w:rFonts w:ascii="Arial" w:cs="Arial" w:eastAsia="Arial" w:hAnsi="Arial"/>
          <w:sz w:val="22"/>
          <w:szCs w:val="22"/>
          <w:color w:val="auto"/>
        </w:rPr>
      </w:pPr>
    </w:p>
    <w:p>
      <w:pPr>
        <w:ind w:left="180" w:firstLine="652"/>
        <w:spacing w:after="0" w:line="263" w:lineRule="auto"/>
        <w:tabs>
          <w:tab w:leader="none" w:pos="1449" w:val="left"/>
        </w:tabs>
        <w:numPr>
          <w:ilvl w:val="1"/>
          <w:numId w:val="98"/>
        </w:numPr>
        <w:rPr>
          <w:rFonts w:ascii="Arial" w:cs="Arial" w:eastAsia="Arial" w:hAnsi="Arial"/>
          <w:sz w:val="22"/>
          <w:szCs w:val="22"/>
          <w:color w:val="auto"/>
        </w:rPr>
      </w:pPr>
      <w:r>
        <w:rPr>
          <w:rFonts w:ascii="Arial" w:cs="Arial" w:eastAsia="Arial" w:hAnsi="Arial"/>
          <w:sz w:val="22"/>
          <w:szCs w:val="22"/>
          <w:color w:val="auto"/>
        </w:rPr>
        <w:t>each UK Borrower making a payment to such Lender has not made a Borrower DTTP Filing in respect of such Lender; or</w:t>
      </w:r>
    </w:p>
    <w:p>
      <w:pPr>
        <w:spacing w:after="0" w:line="174" w:lineRule="exact"/>
        <w:rPr>
          <w:rFonts w:ascii="Arial" w:cs="Arial" w:eastAsia="Arial" w:hAnsi="Arial"/>
          <w:sz w:val="22"/>
          <w:szCs w:val="22"/>
          <w:color w:val="auto"/>
        </w:rPr>
      </w:pPr>
    </w:p>
    <w:p>
      <w:pPr>
        <w:ind w:left="180" w:firstLine="652"/>
        <w:spacing w:after="0" w:line="263" w:lineRule="auto"/>
        <w:tabs>
          <w:tab w:leader="none" w:pos="1372" w:val="left"/>
        </w:tabs>
        <w:numPr>
          <w:ilvl w:val="1"/>
          <w:numId w:val="98"/>
        </w:numPr>
        <w:rPr>
          <w:rFonts w:ascii="Arial" w:cs="Arial" w:eastAsia="Arial" w:hAnsi="Arial"/>
          <w:sz w:val="22"/>
          <w:szCs w:val="22"/>
          <w:color w:val="auto"/>
        </w:rPr>
      </w:pPr>
      <w:r>
        <w:rPr>
          <w:rFonts w:ascii="Arial" w:cs="Arial" w:eastAsia="Arial" w:hAnsi="Arial"/>
          <w:sz w:val="22"/>
          <w:szCs w:val="22"/>
          <w:color w:val="auto"/>
        </w:rPr>
        <w:t>each UK Borrower making a payment to such Lender has made a Borrower DTTP Filing in respect of such Lender but:</w:t>
      </w:r>
    </w:p>
    <w:p>
      <w:pPr>
        <w:spacing w:after="0" w:line="174" w:lineRule="exact"/>
        <w:rPr>
          <w:rFonts w:ascii="Arial" w:cs="Arial" w:eastAsia="Arial" w:hAnsi="Arial"/>
          <w:sz w:val="22"/>
          <w:szCs w:val="22"/>
          <w:color w:val="auto"/>
        </w:rPr>
      </w:pPr>
    </w:p>
    <w:p>
      <w:pPr>
        <w:ind w:left="1940" w:hanging="460"/>
        <w:spacing w:after="0"/>
        <w:tabs>
          <w:tab w:leader="none" w:pos="1940" w:val="left"/>
        </w:tabs>
        <w:numPr>
          <w:ilvl w:val="2"/>
          <w:numId w:val="98"/>
        </w:numPr>
        <w:rPr>
          <w:rFonts w:ascii="Arial" w:cs="Arial" w:eastAsia="Arial" w:hAnsi="Arial"/>
          <w:sz w:val="22"/>
          <w:szCs w:val="22"/>
          <w:color w:val="auto"/>
        </w:rPr>
      </w:pPr>
      <w:r>
        <w:rPr>
          <w:rFonts w:ascii="Arial" w:cs="Arial" w:eastAsia="Arial" w:hAnsi="Arial"/>
          <w:sz w:val="22"/>
          <w:szCs w:val="22"/>
          <w:color w:val="auto"/>
        </w:rPr>
        <w:t>such Borrower DTTP Filing has been rejected by HM Revenue &amp; Customs; or</w:t>
      </w:r>
    </w:p>
    <w:p>
      <w:pPr>
        <w:spacing w:after="0" w:line="219" w:lineRule="exact"/>
        <w:rPr>
          <w:rFonts w:ascii="Arial" w:cs="Arial" w:eastAsia="Arial" w:hAnsi="Arial"/>
          <w:sz w:val="22"/>
          <w:szCs w:val="22"/>
          <w:color w:val="auto"/>
        </w:rPr>
      </w:pPr>
    </w:p>
    <w:p>
      <w:pPr>
        <w:ind w:left="840" w:firstLine="640"/>
        <w:spacing w:after="0" w:line="343" w:lineRule="auto"/>
        <w:tabs>
          <w:tab w:leader="none" w:pos="2043" w:val="left"/>
        </w:tabs>
        <w:numPr>
          <w:ilvl w:val="2"/>
          <w:numId w:val="98"/>
        </w:numPr>
        <w:rPr>
          <w:rFonts w:ascii="Arial" w:cs="Arial" w:eastAsia="Arial" w:hAnsi="Arial"/>
          <w:sz w:val="19"/>
          <w:szCs w:val="19"/>
          <w:color w:val="auto"/>
        </w:rPr>
      </w:pPr>
      <w:r>
        <w:rPr>
          <w:rFonts w:ascii="Arial" w:cs="Arial" w:eastAsia="Arial" w:hAnsi="Arial"/>
          <w:sz w:val="19"/>
          <w:szCs w:val="19"/>
          <w:color w:val="auto"/>
        </w:rPr>
        <w:t>HM Revenue &amp; Customs has not given such UK Borrower authority to make payments to such Lender without UK Withholding Tax within 60 days of the date of such Borrower DTTP Filing; or</w:t>
      </w:r>
    </w:p>
    <w:p>
      <w:pPr>
        <w:spacing w:after="0" w:line="104" w:lineRule="exact"/>
        <w:rPr>
          <w:rFonts w:ascii="Arial" w:cs="Arial" w:eastAsia="Arial" w:hAnsi="Arial"/>
          <w:sz w:val="19"/>
          <w:szCs w:val="19"/>
          <w:color w:val="auto"/>
        </w:rPr>
      </w:pPr>
    </w:p>
    <w:p>
      <w:pPr>
        <w:ind w:left="840" w:firstLine="640"/>
        <w:spacing w:after="0" w:line="287" w:lineRule="auto"/>
        <w:tabs>
          <w:tab w:leader="none" w:pos="1995" w:val="left"/>
        </w:tabs>
        <w:numPr>
          <w:ilvl w:val="2"/>
          <w:numId w:val="98"/>
        </w:numPr>
        <w:rPr>
          <w:rFonts w:ascii="Arial" w:cs="Arial" w:eastAsia="Arial" w:hAnsi="Arial"/>
          <w:sz w:val="21"/>
          <w:szCs w:val="21"/>
          <w:color w:val="auto"/>
        </w:rPr>
      </w:pPr>
      <w:r>
        <w:rPr>
          <w:rFonts w:ascii="Arial" w:cs="Arial" w:eastAsia="Arial" w:hAnsi="Arial"/>
          <w:sz w:val="21"/>
          <w:szCs w:val="21"/>
          <w:color w:val="auto"/>
        </w:rPr>
        <w:t>HM Revenue &amp; Customs has given the Borrower authority to make payments to that Lender without UK Withholding Tax but such authority has subsequently been revoked or expired,</w:t>
      </w:r>
    </w:p>
    <w:p>
      <w:pPr>
        <w:spacing w:after="0" w:line="151"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color w:val="auto"/>
        </w:rPr>
        <w:t>and in each case, such UK Borrower has notified that Lender in writing of either (A), (B)(1), (B)(2) or (B)(3) above, then such Lender and such UK Borrower shall co-operate in completing any additional procedural formalities necessary for such UK Borrower to obtain authorization to make that payment without UK Withholding Tax.</w:t>
      </w:r>
    </w:p>
    <w:p>
      <w:pPr>
        <w:spacing w:after="0" w:line="188" w:lineRule="exact"/>
        <w:rPr>
          <w:sz w:val="20"/>
          <w:szCs w:val="20"/>
          <w:color w:val="auto"/>
        </w:rPr>
      </w:pPr>
    </w:p>
    <w:p>
      <w:pPr>
        <w:jc w:val="both"/>
        <w:ind w:left="-460" w:firstLine="644"/>
        <w:spacing w:after="0" w:line="250" w:lineRule="auto"/>
        <w:tabs>
          <w:tab w:leader="none" w:pos="762"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If a Lender has not confirmed its scheme reference number and jurisdiction of tax residence in accordance with </w:t>
      </w:r>
      <w:r>
        <w:rPr>
          <w:rFonts w:ascii="Arial" w:cs="Arial" w:eastAsia="Arial" w:hAnsi="Arial"/>
          <w:sz w:val="22"/>
          <w:szCs w:val="22"/>
          <w:u w:val="single" w:color="auto"/>
          <w:color w:val="auto"/>
        </w:rPr>
        <w:t>paragraph (f)(ii)</w:t>
      </w:r>
      <w:r>
        <w:rPr>
          <w:rFonts w:ascii="Arial" w:cs="Arial" w:eastAsia="Arial" w:hAnsi="Arial"/>
          <w:sz w:val="22"/>
          <w:szCs w:val="22"/>
          <w:color w:val="auto"/>
        </w:rPr>
        <w:t xml:space="preserve"> above, no UK Borrower shall make a Borrower DTTP Filing or file any other form relating to the HMRC DT Treaty Passport scheme in respect of that Lender’s Commitment(s) or its participation in any Loan unless the Lender otherwise agrees.</w:t>
      </w:r>
    </w:p>
    <w:p>
      <w:pPr>
        <w:spacing w:after="0" w:line="187" w:lineRule="exact"/>
        <w:rPr>
          <w:rFonts w:ascii="Arial" w:cs="Arial" w:eastAsia="Arial" w:hAnsi="Arial"/>
          <w:sz w:val="22"/>
          <w:szCs w:val="22"/>
          <w:color w:val="auto"/>
        </w:rPr>
      </w:pPr>
    </w:p>
    <w:p>
      <w:pPr>
        <w:ind w:left="-460" w:right="20" w:firstLine="644"/>
        <w:spacing w:after="0" w:line="263" w:lineRule="auto"/>
        <w:tabs>
          <w:tab w:leader="none" w:pos="726"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UK Borrower shall, promptly on making a Borrower DTTP Filing, deliver a copy of such Borrower DTTP Filing to the Administrative Agent for delivery to the relevant Lender.</w:t>
      </w:r>
    </w:p>
    <w:p>
      <w:pPr>
        <w:spacing w:after="0" w:line="174" w:lineRule="exact"/>
        <w:rPr>
          <w:rFonts w:ascii="Arial" w:cs="Arial" w:eastAsia="Arial" w:hAnsi="Arial"/>
          <w:sz w:val="22"/>
          <w:szCs w:val="22"/>
          <w:color w:val="auto"/>
        </w:rPr>
      </w:pPr>
    </w:p>
    <w:p>
      <w:pPr>
        <w:ind w:left="-460" w:right="20" w:firstLine="644"/>
        <w:spacing w:after="0" w:line="263" w:lineRule="auto"/>
        <w:tabs>
          <w:tab w:leader="none" w:pos="803"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A UK Non-Bank Lender which is a party to this Agreement on the Effective Date shall give a UK Tax Confirmation in </w:t>
      </w:r>
      <w:r>
        <w:rPr>
          <w:rFonts w:ascii="Arial" w:cs="Arial" w:eastAsia="Arial" w:hAnsi="Arial"/>
          <w:sz w:val="22"/>
          <w:szCs w:val="22"/>
          <w:u w:val="single" w:color="auto"/>
          <w:color w:val="auto"/>
        </w:rPr>
        <w:t>Schedule 2.01</w:t>
      </w:r>
      <w:r>
        <w:rPr>
          <w:rFonts w:ascii="Arial" w:cs="Arial" w:eastAsia="Arial" w:hAnsi="Arial"/>
          <w:sz w:val="22"/>
          <w:szCs w:val="22"/>
          <w:color w:val="auto"/>
        </w:rPr>
        <w:t>. A UK Non-Bank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0120"/>
          </w:cols>
          <w:pgMar w:left="1440" w:top="1428" w:right="339" w:bottom="1440" w:gutter="0" w:footer="0" w:header="0"/>
        </w:sectPr>
      </w:pPr>
    </w:p>
    <w:bookmarkStart w:id="167" w:name="page168"/>
    <w:bookmarkEnd w:id="167"/>
    <w:p>
      <w:pPr>
        <w:jc w:val="both"/>
        <w:ind w:left="660"/>
        <w:spacing w:after="0" w:line="312" w:lineRule="auto"/>
        <w:rPr>
          <w:sz w:val="20"/>
          <w:szCs w:val="20"/>
          <w:color w:val="auto"/>
        </w:rPr>
      </w:pPr>
      <w:r>
        <w:rPr>
          <w:rFonts w:ascii="Arial" w:cs="Arial" w:eastAsia="Arial" w:hAnsi="Arial"/>
          <w:sz w:val="19"/>
          <w:szCs w:val="19"/>
          <w:color w:val="auto"/>
        </w:rPr>
        <w:t>Lender which becomes a party to this Agreement after the Effective Date shall give a UK Tax Confirmation in the documentation which it executes on becoming a party. A UK Non-Bank Lender shall promptly notify any UK Borrower and the Administrative Agent if there is any change in the position from that set out in the UK Tax Confirmation.</w:t>
      </w:r>
    </w:p>
    <w:p>
      <w:pPr>
        <w:spacing w:after="0" w:line="133" w:lineRule="exact"/>
        <w:rPr>
          <w:sz w:val="20"/>
          <w:szCs w:val="20"/>
          <w:color w:val="auto"/>
        </w:rPr>
      </w:pPr>
    </w:p>
    <w:p>
      <w:pPr>
        <w:jc w:val="both"/>
        <w:ind w:left="660" w:right="20" w:firstLine="644"/>
        <w:spacing w:after="0" w:line="253" w:lineRule="auto"/>
        <w:tabs>
          <w:tab w:leader="none" w:pos="197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UK Treaty Lender shall notify the Borrowers and Administrative Agent if it determines in its sole discretion that it is ceases to be entitled to claim the benefits of UK Treaty with respect to payments made by any UK Borrower hereunder.</w:t>
      </w:r>
    </w:p>
    <w:p>
      <w:pPr>
        <w:spacing w:after="0" w:line="185" w:lineRule="exact"/>
        <w:rPr>
          <w:rFonts w:ascii="Arial" w:cs="Arial" w:eastAsia="Arial" w:hAnsi="Arial"/>
          <w:sz w:val="22"/>
          <w:szCs w:val="22"/>
          <w:color w:val="auto"/>
        </w:rPr>
      </w:pPr>
    </w:p>
    <w:p>
      <w:pPr>
        <w:ind w:left="660" w:firstLine="644"/>
        <w:spacing w:after="0" w:line="263" w:lineRule="auto"/>
        <w:tabs>
          <w:tab w:leader="none" w:pos="199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Each Lender shall indicate, in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or, as the case may be, the documentation which it executes on becoming a Lender, which of the following categories it falls in in respect of a UK Borrower:</w:t>
      </w:r>
    </w:p>
    <w:p>
      <w:pPr>
        <w:spacing w:after="0" w:line="174" w:lineRule="exact"/>
        <w:rPr>
          <w:rFonts w:ascii="Arial" w:cs="Arial" w:eastAsia="Arial" w:hAnsi="Arial"/>
          <w:sz w:val="22"/>
          <w:szCs w:val="22"/>
          <w:color w:val="auto"/>
        </w:rPr>
      </w:pPr>
    </w:p>
    <w:p>
      <w:pPr>
        <w:ind w:left="2460" w:hanging="508"/>
        <w:spacing w:after="0"/>
        <w:tabs>
          <w:tab w:leader="none" w:pos="246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Not a Qualifying Lender;</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 Qualifying Lender (other than a UK Treaty Lender or a UK Non-Bank Lender);</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 UK Non-Bank Lender; or</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A UK Treaty Lender (on the assumption that all procedural formalities have been completed).</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 Lender fails to indicate its status in accordance with this paragraph (viii), then such Lender shall be treated for the purposes of this Agreement (including by each UK Borrower) as if it is not a Qualifying Lender until such time as it notifies the Administrative Agent which category applies (and the Administrative Agent, upon receipt of such notification, shall inform each UK Borrower).</w:t>
      </w:r>
    </w:p>
    <w:p>
      <w:pPr>
        <w:spacing w:after="0" w:line="188" w:lineRule="exact"/>
        <w:rPr>
          <w:sz w:val="20"/>
          <w:szCs w:val="20"/>
          <w:color w:val="auto"/>
        </w:rPr>
      </w:pPr>
    </w:p>
    <w:p>
      <w:pPr>
        <w:jc w:val="both"/>
        <w:ind w:left="660" w:firstLine="644"/>
        <w:spacing w:after="0" w:line="259" w:lineRule="auto"/>
        <w:tabs>
          <w:tab w:leader="none" w:pos="2003" w:val="left"/>
        </w:tabs>
        <w:numPr>
          <w:ilvl w:val="1"/>
          <w:numId w:val="101"/>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if a Lender assigns or transfers any of its rights or obligations with respect to a Loan or changes its lending office in respect of such Loan, and as a result of circumstances existing at the date the assignment, transfer or change occurs, a Loan Party would be obliged to make a payment to the successor or assign or Lender acting through its new lending office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in respect of a UK Withholding Tax, then such successor or assign or Lender acting through its new lending office is only entitled to receive payment under that Section to the same extent as the assigning or transferring Lender or Lender acting through its previous lending office would have been if the assignment, transfer or change had not occurred. This paragraph (ix) shall not apply in respect of an assignment or transfer made in the ordinary course of the primary syndication of the credit facilities provided for herein.</w:t>
      </w:r>
    </w:p>
    <w:p>
      <w:pPr>
        <w:spacing w:after="0" w:line="179" w:lineRule="exact"/>
        <w:rPr>
          <w:rFonts w:ascii="Arial" w:cs="Arial" w:eastAsia="Arial" w:hAnsi="Arial"/>
          <w:sz w:val="21"/>
          <w:szCs w:val="21"/>
          <w:color w:val="auto"/>
        </w:rPr>
      </w:pPr>
    </w:p>
    <w:p>
      <w:pPr>
        <w:jc w:val="both"/>
        <w:ind w:firstLine="656"/>
        <w:spacing w:after="0" w:line="312" w:lineRule="auto"/>
        <w:tabs>
          <w:tab w:leader="none" w:pos="122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(including by the payment of additional amounts paid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it shall pay to the indemnifying party an amount equal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28" w:right="339" w:bottom="1440" w:gutter="0" w:footer="0" w:header="0"/>
        </w:sectPr>
      </w:pPr>
    </w:p>
    <w:bookmarkStart w:id="168" w:name="page169"/>
    <w:bookmarkEnd w:id="168"/>
    <w:p>
      <w:pPr>
        <w:jc w:val="both"/>
        <w:spacing w:after="0" w:line="287" w:lineRule="auto"/>
        <w:rPr>
          <w:sz w:val="20"/>
          <w:szCs w:val="20"/>
          <w:color w:val="auto"/>
        </w:rPr>
      </w:pPr>
      <w:r>
        <w:rPr>
          <w:rFonts w:ascii="Arial" w:cs="Arial" w:eastAsia="Arial" w:hAnsi="Arial"/>
          <w:sz w:val="19"/>
          <w:szCs w:val="19"/>
          <w:color w:val="auto"/>
        </w:rPr>
        <w:t xml:space="preserve">refund (but only to the extent of indemnity payments made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paragraph, in no event will any indemnified party be required to pay any amount to any indemnifying party pursuant to this paragraph the payment of which would place such indemnified party in a less favorable net after-Tax position than such indemnified party would have been in if the Tax subject to indemnification and giving rise to such refund had not been deducted or withheld and the indemnification payments or additional amounts in respect of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20" w:lineRule="exact"/>
        <w:rPr>
          <w:sz w:val="20"/>
          <w:szCs w:val="20"/>
          <w:color w:val="auto"/>
        </w:rPr>
      </w:pPr>
    </w:p>
    <w:p>
      <w:pPr>
        <w:jc w:val="both"/>
        <w:ind w:firstLine="656"/>
        <w:spacing w:after="0" w:line="253" w:lineRule="auto"/>
        <w:tabs>
          <w:tab w:leader="none" w:pos="116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Each party’s obligations under this Section 2.17 shall survive the resignation or replacement of the Administrative Agent or any assignment of rights by, or the replacement of, a Lender, the termination of the Commitments and the repayment, satisfaction or discharge of all Loan Document Obligations.</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VAT</w:t>
      </w:r>
    </w:p>
    <w:p>
      <w:pPr>
        <w:spacing w:after="0" w:line="219" w:lineRule="exact"/>
        <w:rPr>
          <w:rFonts w:ascii="Arial" w:cs="Arial" w:eastAsia="Arial" w:hAnsi="Arial"/>
          <w:sz w:val="22"/>
          <w:szCs w:val="22"/>
          <w:color w:val="auto"/>
        </w:rPr>
      </w:pPr>
    </w:p>
    <w:p>
      <w:pPr>
        <w:jc w:val="both"/>
        <w:ind w:left="660" w:firstLine="644"/>
        <w:spacing w:after="0" w:line="260" w:lineRule="auto"/>
        <w:tabs>
          <w:tab w:leader="none" w:pos="1739" w:val="left"/>
        </w:tabs>
        <w:numPr>
          <w:ilvl w:val="1"/>
          <w:numId w:val="103"/>
        </w:numPr>
        <w:rPr>
          <w:rFonts w:ascii="Arial" w:cs="Arial" w:eastAsia="Arial" w:hAnsi="Arial"/>
          <w:sz w:val="21"/>
          <w:szCs w:val="21"/>
          <w:color w:val="auto"/>
        </w:rPr>
      </w:pPr>
      <w:r>
        <w:rPr>
          <w:rFonts w:ascii="Arial" w:cs="Arial" w:eastAsia="Arial" w:hAnsi="Arial"/>
          <w:sz w:val="21"/>
          <w:szCs w:val="21"/>
          <w:color w:val="auto"/>
        </w:rPr>
        <w:t>All amounts expressed to be payable under a Loan Document by any party to a Credit Party which (in whole or in part) constitute the consideration for any supply for VAT purposes are deemed to be exclusive of any VAT which is chargeable on that supply, and accordingly, subject to paragraph (ii) below, if VAT is or becomes chargeable on any supply made by any Credit Party to any party under a Loan Document and such Credit Party is required to account to the relevant tax authority for the VAT, that party must pay to such Credit Party (in addition to and at the same time as paying any other consideration for such supply) an amount equal to the amount of the VAT (and such Credit Party must promptly provide an appropriate VAT invoice to that party).</w:t>
      </w:r>
    </w:p>
    <w:p>
      <w:pPr>
        <w:spacing w:after="0" w:line="180" w:lineRule="exact"/>
        <w:rPr>
          <w:rFonts w:ascii="Arial" w:cs="Arial" w:eastAsia="Arial" w:hAnsi="Arial"/>
          <w:sz w:val="21"/>
          <w:szCs w:val="21"/>
          <w:color w:val="auto"/>
        </w:rPr>
      </w:pPr>
    </w:p>
    <w:p>
      <w:pPr>
        <w:jc w:val="both"/>
        <w:ind w:left="660" w:firstLine="644"/>
        <w:spacing w:after="0" w:line="302" w:lineRule="auto"/>
        <w:tabs>
          <w:tab w:leader="none" w:pos="1893" w:val="left"/>
        </w:tabs>
        <w:numPr>
          <w:ilvl w:val="1"/>
          <w:numId w:val="103"/>
        </w:numPr>
        <w:rPr>
          <w:rFonts w:ascii="Arial" w:cs="Arial" w:eastAsia="Arial" w:hAnsi="Arial"/>
          <w:sz w:val="19"/>
          <w:szCs w:val="19"/>
          <w:color w:val="auto"/>
        </w:rPr>
      </w:pPr>
      <w:r>
        <w:rPr>
          <w:rFonts w:ascii="Arial" w:cs="Arial" w:eastAsia="Arial" w:hAnsi="Arial"/>
          <w:sz w:val="19"/>
          <w:szCs w:val="19"/>
          <w:color w:val="auto"/>
        </w:rPr>
        <w:t>If VAT is or becomes chargeable on any supply made by any Credit Party (the “</w:t>
      </w:r>
      <w:r>
        <w:rPr>
          <w:rFonts w:ascii="Arial" w:cs="Arial" w:eastAsia="Arial" w:hAnsi="Arial"/>
          <w:sz w:val="19"/>
          <w:szCs w:val="19"/>
          <w:u w:val="single" w:color="auto"/>
          <w:color w:val="auto"/>
        </w:rPr>
        <w:t>Supplier</w:t>
      </w:r>
      <w:r>
        <w:rPr>
          <w:rFonts w:ascii="Arial" w:cs="Arial" w:eastAsia="Arial" w:hAnsi="Arial"/>
          <w:sz w:val="19"/>
          <w:szCs w:val="19"/>
          <w:color w:val="auto"/>
        </w:rPr>
        <w:t>”) to any other Credit Party (the “</w:t>
      </w:r>
      <w:r>
        <w:rPr>
          <w:rFonts w:ascii="Arial" w:cs="Arial" w:eastAsia="Arial" w:hAnsi="Arial"/>
          <w:sz w:val="19"/>
          <w:szCs w:val="19"/>
          <w:u w:val="single" w:color="auto"/>
          <w:color w:val="auto"/>
        </w:rPr>
        <w:t>Recipient</w:t>
      </w:r>
      <w:r>
        <w:rPr>
          <w:rFonts w:ascii="Arial" w:cs="Arial" w:eastAsia="Arial" w:hAnsi="Arial"/>
          <w:sz w:val="19"/>
          <w:szCs w:val="19"/>
          <w:color w:val="auto"/>
        </w:rPr>
        <w:t>”) under a Loan Document, and any party other than the Recipient (the “</w:t>
      </w:r>
      <w:r>
        <w:rPr>
          <w:rFonts w:ascii="Arial" w:cs="Arial" w:eastAsia="Arial" w:hAnsi="Arial"/>
          <w:sz w:val="19"/>
          <w:szCs w:val="19"/>
          <w:u w:val="single" w:color="auto"/>
          <w:color w:val="auto"/>
        </w:rPr>
        <w:t>Relevant Party</w:t>
      </w:r>
      <w:r>
        <w:rPr>
          <w:rFonts w:ascii="Arial" w:cs="Arial" w:eastAsia="Arial" w:hAnsi="Arial"/>
          <w:sz w:val="19"/>
          <w:szCs w:val="19"/>
          <w:color w:val="auto"/>
        </w:rPr>
        <w:t>”) is required by the terms of any Loan Document to pay an amount equal to the consideration for that supply to the Supplier (rather than being required to reimburse or indemnify the Recipient in respect of that consideration):</w:t>
      </w:r>
    </w:p>
    <w:p>
      <w:pPr>
        <w:spacing w:after="0" w:line="142" w:lineRule="exact"/>
        <w:rPr>
          <w:rFonts w:ascii="Arial" w:cs="Arial" w:eastAsia="Arial" w:hAnsi="Arial"/>
          <w:sz w:val="19"/>
          <w:szCs w:val="19"/>
          <w:color w:val="auto"/>
        </w:rPr>
      </w:pPr>
    </w:p>
    <w:p>
      <w:pPr>
        <w:jc w:val="both"/>
        <w:ind w:left="1300" w:firstLine="652"/>
        <w:spacing w:after="0" w:line="250" w:lineRule="auto"/>
        <w:tabs>
          <w:tab w:leader="none" w:pos="2520" w:val="left"/>
        </w:tabs>
        <w:numPr>
          <w:ilvl w:val="2"/>
          <w:numId w:val="103"/>
        </w:numPr>
        <w:rPr>
          <w:rFonts w:ascii="Arial" w:cs="Arial" w:eastAsia="Arial" w:hAnsi="Arial"/>
          <w:sz w:val="22"/>
          <w:szCs w:val="22"/>
          <w:color w:val="auto"/>
        </w:rPr>
      </w:pPr>
      <w:r>
        <w:rPr>
          <w:rFonts w:ascii="Arial" w:cs="Arial" w:eastAsia="Arial" w:hAnsi="Arial"/>
          <w:sz w:val="22"/>
          <w:szCs w:val="22"/>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(A) applies) promptly pay to the Relevant Party an amount equal to any credit or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28" w:right="339" w:bottom="1440" w:gutter="0" w:footer="0" w:header="0"/>
        </w:sectPr>
      </w:pPr>
    </w:p>
    <w:bookmarkStart w:id="169" w:name="page170"/>
    <w:bookmarkEnd w:id="169"/>
    <w:p>
      <w:pPr>
        <w:ind w:left="1300"/>
        <w:spacing w:after="0" w:line="263" w:lineRule="auto"/>
        <w:rPr>
          <w:sz w:val="20"/>
          <w:szCs w:val="20"/>
          <w:color w:val="auto"/>
        </w:rPr>
      </w:pPr>
      <w:r>
        <w:rPr>
          <w:rFonts w:ascii="Arial" w:cs="Arial" w:eastAsia="Arial" w:hAnsi="Arial"/>
          <w:sz w:val="22"/>
          <w:szCs w:val="22"/>
          <w:color w:val="auto"/>
        </w:rPr>
        <w:t>the Recipient receives from the relevant tax authority which the Recipient reasonably determines relates to the VAT chargeable on that supply; and</w:t>
      </w:r>
    </w:p>
    <w:p>
      <w:pPr>
        <w:spacing w:after="0" w:line="175" w:lineRule="exact"/>
        <w:rPr>
          <w:sz w:val="20"/>
          <w:szCs w:val="20"/>
          <w:color w:val="auto"/>
        </w:rPr>
      </w:pPr>
    </w:p>
    <w:p>
      <w:pPr>
        <w:jc w:val="both"/>
        <w:ind w:left="1300" w:firstLine="652"/>
        <w:spacing w:after="0" w:line="302" w:lineRule="auto"/>
        <w:tabs>
          <w:tab w:leader="none" w:pos="2493" w:val="left"/>
        </w:tabs>
        <w:numPr>
          <w:ilvl w:val="2"/>
          <w:numId w:val="104"/>
        </w:numPr>
        <w:rPr>
          <w:rFonts w:ascii="Arial" w:cs="Arial" w:eastAsia="Arial" w:hAnsi="Arial"/>
          <w:sz w:val="19"/>
          <w:szCs w:val="19"/>
          <w:color w:val="auto"/>
        </w:rPr>
      </w:pPr>
      <w:r>
        <w:rPr>
          <w:rFonts w:ascii="Arial" w:cs="Arial" w:eastAsia="Arial" w:hAnsi="Arial"/>
          <w:sz w:val="19"/>
          <w:szCs w:val="19"/>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42" w:lineRule="exact"/>
        <w:rPr>
          <w:rFonts w:ascii="Arial" w:cs="Arial" w:eastAsia="Arial" w:hAnsi="Arial"/>
          <w:sz w:val="19"/>
          <w:szCs w:val="19"/>
          <w:color w:val="auto"/>
        </w:rPr>
      </w:pPr>
    </w:p>
    <w:p>
      <w:pPr>
        <w:jc w:val="both"/>
        <w:ind w:left="660" w:firstLine="644"/>
        <w:spacing w:after="0" w:line="302" w:lineRule="auto"/>
        <w:tabs>
          <w:tab w:leader="none" w:pos="1983" w:val="left"/>
        </w:tabs>
        <w:numPr>
          <w:ilvl w:val="1"/>
          <w:numId w:val="105"/>
        </w:numPr>
        <w:rPr>
          <w:rFonts w:ascii="Arial" w:cs="Arial" w:eastAsia="Arial" w:hAnsi="Arial"/>
          <w:sz w:val="19"/>
          <w:szCs w:val="19"/>
          <w:color w:val="auto"/>
        </w:rPr>
      </w:pPr>
      <w:r>
        <w:rPr>
          <w:rFonts w:ascii="Arial" w:cs="Arial" w:eastAsia="Arial" w:hAnsi="Arial"/>
          <w:sz w:val="19"/>
          <w:szCs w:val="19"/>
          <w:color w:val="auto"/>
        </w:rPr>
        <w:t>Where a Loan Document requires any party to reimburse or indemnify a Credit Party for any cost or expense, that party shall reimburse or indemnify (as the case may be) such Credit Party for the full amount of such cost or expense, including such part thereof as represents VAT, save to the extent that such Credit Party reasonably determines that it is entitled to credit or repayment in respect of such VAT from the relevant tax authority.</w:t>
      </w:r>
    </w:p>
    <w:p>
      <w:pPr>
        <w:spacing w:after="0" w:line="142" w:lineRule="exact"/>
        <w:rPr>
          <w:rFonts w:ascii="Arial" w:cs="Arial" w:eastAsia="Arial" w:hAnsi="Arial"/>
          <w:sz w:val="19"/>
          <w:szCs w:val="19"/>
          <w:color w:val="auto"/>
        </w:rPr>
      </w:pPr>
    </w:p>
    <w:p>
      <w:pPr>
        <w:jc w:val="both"/>
        <w:ind w:left="660" w:firstLine="644"/>
        <w:spacing w:after="0" w:line="250" w:lineRule="auto"/>
        <w:tabs>
          <w:tab w:leader="none" w:pos="1882"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reference in this clause Section 2.17(i)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87" w:lineRule="exact"/>
        <w:rPr>
          <w:rFonts w:ascii="Arial" w:cs="Arial" w:eastAsia="Arial" w:hAnsi="Arial"/>
          <w:sz w:val="22"/>
          <w:szCs w:val="22"/>
          <w:color w:val="auto"/>
        </w:rPr>
      </w:pPr>
    </w:p>
    <w:p>
      <w:pPr>
        <w:jc w:val="both"/>
        <w:ind w:left="660" w:firstLine="644"/>
        <w:spacing w:after="0" w:line="250" w:lineRule="auto"/>
        <w:tabs>
          <w:tab w:leader="none" w:pos="1928"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In relation to any supply made by a Credit Party to any party under a Loan Document, if reasonably requested by such Credit Party, that party must promptly provide such Credit Party with details of that party’s VAT registration and such other information as is reasonably requested in connection with such Credit Party’s VAT reporting requirements in relation to such supply.</w:t>
      </w:r>
    </w:p>
    <w:p>
      <w:pPr>
        <w:spacing w:after="0" w:line="187" w:lineRule="exact"/>
        <w:rPr>
          <w:rFonts w:ascii="Arial" w:cs="Arial" w:eastAsia="Arial" w:hAnsi="Arial"/>
          <w:sz w:val="22"/>
          <w:szCs w:val="22"/>
          <w:color w:val="auto"/>
        </w:rPr>
      </w:pPr>
    </w:p>
    <w:p>
      <w:pPr>
        <w:ind w:firstLine="656"/>
        <w:spacing w:after="0" w:line="263" w:lineRule="auto"/>
        <w:tabs>
          <w:tab w:leader="none" w:pos="118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2.17</w:t>
      </w:r>
      <w:r>
        <w:rPr>
          <w:rFonts w:ascii="Arial" w:cs="Arial" w:eastAsia="Arial" w:hAnsi="Arial"/>
          <w:sz w:val="22"/>
          <w:szCs w:val="22"/>
          <w:color w:val="auto"/>
        </w:rPr>
        <w:t>, the term “Lender” includes any Issuing Bank and the term “applicable law” includes FATCA.</w:t>
      </w:r>
    </w:p>
    <w:p>
      <w:pPr>
        <w:spacing w:after="0" w:line="17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Payments Generally; Pro Rata Treatment; Sharing of Setoffs; Application of Proceeds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9" w:lineRule="auto"/>
        <w:tabs>
          <w:tab w:leader="none" w:pos="1166"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The Borrowers shall make each payment required to be made by it hereunder or under any other Loan Document (whether of principal, interest, fees or reimbursement of LC Disbursements, or of amounts payable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2.17</w:t>
      </w:r>
      <w:r>
        <w:rPr>
          <w:rFonts w:ascii="Arial" w:cs="Arial" w:eastAsia="Arial" w:hAnsi="Arial"/>
          <w:sz w:val="21"/>
          <w:szCs w:val="21"/>
          <w:color w:val="auto"/>
        </w:rPr>
        <w:t xml:space="preserve">, or otherwise) prior to the time expressly required hereunder or under such other Loan Document for such payment (or, if no such time is expressly required, prior to 1:00 p.m., New York City time), on the date when due, in immediately available funds, without any defense,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such account or accounts as may be specified by the Administrative Agent, except that payments required to be made directly to any Issuing Bank shall be so made, payments pursuant to </w:t>
      </w:r>
      <w:r>
        <w:rPr>
          <w:rFonts w:ascii="Arial" w:cs="Arial" w:eastAsia="Arial" w:hAnsi="Arial"/>
          <w:sz w:val="21"/>
          <w:szCs w:val="21"/>
          <w:u w:val="single" w:color="auto"/>
          <w:color w:val="auto"/>
        </w:rPr>
        <w:t>Sections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w:t>
      </w:r>
      <w:r>
        <w:rPr>
          <w:rFonts w:ascii="Arial" w:cs="Arial" w:eastAsia="Arial" w:hAnsi="Arial"/>
          <w:sz w:val="21"/>
          <w:szCs w:val="21"/>
          <w:u w:val="single" w:color="auto"/>
          <w:color w:val="auto"/>
        </w:rPr>
        <w:t>2.17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8" w:right="339" w:bottom="1440" w:gutter="0" w:footer="0" w:header="0"/>
        </w:sectPr>
      </w:pPr>
    </w:p>
    <w:bookmarkStart w:id="170" w:name="page171"/>
    <w:bookmarkEnd w:id="170"/>
    <w:p>
      <w:pPr>
        <w:jc w:val="both"/>
        <w:spacing w:after="0" w:line="259" w:lineRule="auto"/>
        <w:rPr>
          <w:sz w:val="20"/>
          <w:szCs w:val="20"/>
          <w:color w:val="auto"/>
        </w:rPr>
      </w:pPr>
      <w:r>
        <w:rPr>
          <w:rFonts w:ascii="Arial" w:cs="Arial" w:eastAsia="Arial" w:hAnsi="Arial"/>
          <w:sz w:val="21"/>
          <w:szCs w:val="21"/>
          <w:color w:val="auto"/>
        </w:rPr>
        <w:t>shall be made directly to the Persons entitled thereto and payments pursuant to other Loan Documents shall be made to the Persons specified therein. The Administrative Agent shall distribute any such payment received by it for the account of any other Person to the appropriate recipient promptly following receipt thereof. If any payment under this Agreement or any other Loan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Loan Document shall be made in dollars.</w:t>
      </w:r>
    </w:p>
    <w:p>
      <w:pPr>
        <w:spacing w:after="0" w:line="183" w:lineRule="exact"/>
        <w:rPr>
          <w:sz w:val="20"/>
          <w:szCs w:val="20"/>
          <w:color w:val="auto"/>
        </w:rPr>
      </w:pPr>
    </w:p>
    <w:p>
      <w:pPr>
        <w:jc w:val="both"/>
        <w:ind w:firstLine="656"/>
        <w:spacing w:after="0" w:line="248" w:lineRule="auto"/>
        <w:tabs>
          <w:tab w:leader="none" w:pos="111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91" w:lineRule="exact"/>
        <w:rPr>
          <w:rFonts w:ascii="Arial" w:cs="Arial" w:eastAsia="Arial" w:hAnsi="Arial"/>
          <w:sz w:val="22"/>
          <w:szCs w:val="22"/>
          <w:color w:val="auto"/>
        </w:rPr>
      </w:pPr>
    </w:p>
    <w:p>
      <w:pPr>
        <w:jc w:val="both"/>
        <w:ind w:firstLine="656"/>
        <w:spacing w:after="0" w:line="285" w:lineRule="auto"/>
        <w:tabs>
          <w:tab w:leader="none" w:pos="112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Revolving Loans or participations in LC Disbursements resulting in such Lender receiving payment of a greater proportion of the aggregate amount of its Revolving Loans and participations in LC Disbursements and accrued interest thereon than the proportion received by any other Lender, then the Lender receiving such greater proportion shall notify the Administrative Agent of such fact and shall purchase (for cash at face value) participations in the Revolving Loans and participations in LC Disbursements of other Lenders to the extent necessary so that the aggregate amount of all such payments shall be shared by the Lenders ratably in accordance with the aggregate amount of principal of and accrued interest on their respective Revolving Loans and participations in LC Disbursements;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Eligible Assignee.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68" w:lineRule="exact"/>
        <w:rPr>
          <w:rFonts w:ascii="Arial" w:cs="Arial" w:eastAsia="Arial" w:hAnsi="Arial"/>
          <w:sz w:val="19"/>
          <w:szCs w:val="19"/>
          <w:color w:val="auto"/>
        </w:rPr>
      </w:pPr>
    </w:p>
    <w:p>
      <w:pPr>
        <w:jc w:val="both"/>
        <w:ind w:firstLine="656"/>
        <w:spacing w:after="0" w:line="250" w:lineRule="auto"/>
        <w:tabs>
          <w:tab w:leader="none" w:pos="123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Unless the Administrative Agent shall have received notice from the Company prior to the date on which any payment is due to the Administrative Agent for the account of any of the Lenders or the Issuing Banks hereunder that the Borrowers will not make such payment, the Administrative Agent may assume that the Borrowers have made such payment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28" w:right="339" w:bottom="1440" w:gutter="0" w:footer="0" w:header="0"/>
        </w:sectPr>
      </w:pPr>
    </w:p>
    <w:bookmarkStart w:id="171" w:name="page172"/>
    <w:bookmarkEnd w:id="171"/>
    <w:p>
      <w:pPr>
        <w:jc w:val="both"/>
        <w:spacing w:after="0" w:line="246" w:lineRule="auto"/>
        <w:rPr>
          <w:sz w:val="20"/>
          <w:szCs w:val="20"/>
          <w:color w:val="auto"/>
        </w:rPr>
      </w:pPr>
      <w:r>
        <w:rPr>
          <w:rFonts w:ascii="Arial" w:cs="Arial" w:eastAsia="Arial" w:hAnsi="Arial"/>
          <w:sz w:val="22"/>
          <w:szCs w:val="22"/>
          <w:color w:val="auto"/>
        </w:rPr>
        <w:t>in accordance herewith and may, in reliance upon such assumption and in its sole discretion, distribute to the applicable Lenders or the Issuing Banks, as applicable, the amount due. In such event, if the Borrowers have not in fact made such payment, then each of the applicable Lenders or the Issuing Banks, as applicable,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96" w:lineRule="exact"/>
        <w:rPr>
          <w:sz w:val="20"/>
          <w:szCs w:val="20"/>
          <w:color w:val="auto"/>
        </w:rPr>
      </w:pPr>
    </w:p>
    <w:p>
      <w:pPr>
        <w:ind w:left="1120" w:hanging="464"/>
        <w:spacing w:after="0"/>
        <w:tabs>
          <w:tab w:leader="none" w:pos="11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56"/>
        <w:spacing w:after="0" w:line="294" w:lineRule="auto"/>
        <w:tabs>
          <w:tab w:leader="none" w:pos="109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All proceeds of Collateral and all other amounts received by the Administrative Agent after an Event of Default has occurred and is continuing and all or any portion of the Loans shall have been accelerated hereunder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shall, upon election by the Administrative Agent or at the direction of the Required Lenders,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to pay any fees, indemnities, or expense reimbursements then due to the Administrative Agent,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 interest due and payable in respect of any Loans,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the payment of any other Obligation due to the Administrative Agent or any Secured Party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and </w:t>
      </w:r>
      <w:r>
        <w:rPr>
          <w:rFonts w:ascii="Arial" w:cs="Arial" w:eastAsia="Arial" w:hAnsi="Arial"/>
          <w:sz w:val="19"/>
          <w:szCs w:val="19"/>
          <w:u w:val="single" w:color="auto"/>
          <w:color w:val="auto"/>
        </w:rPr>
        <w:t>fourth</w:t>
      </w:r>
      <w:r>
        <w:rPr>
          <w:rFonts w:ascii="Arial" w:cs="Arial" w:eastAsia="Arial" w:hAnsi="Arial"/>
          <w:sz w:val="19"/>
          <w:szCs w:val="19"/>
          <w:color w:val="auto"/>
        </w:rPr>
        <w:t>, to the Borrowers or as the Borrowers shall direct.</w:t>
      </w:r>
    </w:p>
    <w:p>
      <w:pPr>
        <w:spacing w:after="0" w:line="149"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2.19.</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9" w:lineRule="auto"/>
        <w:tabs>
          <w:tab w:leader="none" w:pos="116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if any Loan Party is required to pay any Indemnified Taxes or additional amounts to any Lender or to any Governmental Authority for the account of any Lender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then such Lender shall (at the request of the Company)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as applicable, in the future and (ii) would not subject such Lender to any unreimbursed cost or expense and would not be inconsistent with its internal policies or otherwise be disadvantageous to such Lender in any material respect. The Borrowers hereby agree to pay all reasonable and documented costs and expenses incurred by any Lender in connection with any such designation or assignment and delegation.</w:t>
      </w:r>
    </w:p>
    <w:p>
      <w:pPr>
        <w:spacing w:after="0" w:line="156" w:lineRule="exact"/>
        <w:rPr>
          <w:rFonts w:ascii="Arial" w:cs="Arial" w:eastAsia="Arial" w:hAnsi="Arial"/>
          <w:sz w:val="19"/>
          <w:szCs w:val="19"/>
          <w:color w:val="auto"/>
        </w:rPr>
      </w:pPr>
    </w:p>
    <w:p>
      <w:pPr>
        <w:jc w:val="both"/>
        <w:ind w:firstLine="656"/>
        <w:spacing w:after="0" w:line="260" w:lineRule="auto"/>
        <w:tabs>
          <w:tab w:leader="none" w:pos="1269"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If (i) any Lender has requested compensation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(ii) the Borrowers are required to pay any Indemnified Taxes or additional amounts to any Lender or any Governmental Authority for the account of any Lender pursuant to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or (iii) any Lender has become a Defaulting Lender, then the Company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all its interests, rights (other than its existing rights to payments pursuant to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2.17</w:t>
      </w:r>
      <w:r>
        <w:rPr>
          <w:rFonts w:ascii="Arial" w:cs="Arial" w:eastAsia="Arial" w:hAnsi="Arial"/>
          <w:sz w:val="21"/>
          <w:szCs w:val="21"/>
          <w:color w:val="auto"/>
        </w:rPr>
        <w:t>) and obligations under this Agreement and the other Loan Documents to an Eligible Assignee that shall assume such obligations (which assignee may be another Lender,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28" w:right="339" w:bottom="1440" w:gutter="0" w:footer="0" w:header="0"/>
        </w:sectPr>
      </w:pPr>
    </w:p>
    <w:bookmarkStart w:id="172" w:name="page173"/>
    <w:bookmarkEnd w:id="172"/>
    <w:p>
      <w:pPr>
        <w:jc w:val="both"/>
        <w:spacing w:after="0" w:line="287" w:lineRule="auto"/>
        <w:rPr>
          <w:sz w:val="20"/>
          <w:szCs w:val="20"/>
          <w:color w:val="auto"/>
        </w:rPr>
      </w:pPr>
      <w:r>
        <w:rPr>
          <w:rFonts w:ascii="Arial" w:cs="Arial" w:eastAsia="Arial" w:hAnsi="Arial"/>
          <w:sz w:val="19"/>
          <w:szCs w:val="19"/>
          <w:color w:val="auto"/>
        </w:rPr>
        <w:t xml:space="preserve">Lender accepts such assignment and delegation);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Company shall have received the prior written consent of the Administrative Agent (and, if a Commitment is being assigned, each Issuing Bank), which consent shall not unreasonably be withheld or delayed, (B) such Lender shall have received payment of an amount equal to the outstanding principal of its Loans and participations in LC Disbursements, accrued interest thereon, accrued fees and all other amounts payable to it hereunder from the assignee or the Borrowers, (C) the Borrowers or such assignee shall have paid to the Administrative Agent the processing and recordation fee specified in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(D) in the case of any such assignment and delegation resulting from a claim for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such assignment will result in a reduction in such compensation or payments and (E) such assignment does not conflict with applicable law. A Lender shall not be required to make any such assignment and delegation if, prior thereto, as a result of a waiver or consent by such Lender or otherwise (including as a result of any action taken by such Lender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above), the circumstances entitling the Company to require such assignment and delegation have ceased to apply.</w:t>
      </w:r>
    </w:p>
    <w:p>
      <w:pPr>
        <w:spacing w:after="0" w:line="16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 Defaulting Lender, then the following provisions shall apply for so long as such Lender is a Defaulting Lender:</w:t>
      </w:r>
    </w:p>
    <w:p>
      <w:pPr>
        <w:spacing w:after="0" w:line="104" w:lineRule="exact"/>
        <w:rPr>
          <w:sz w:val="20"/>
          <w:szCs w:val="20"/>
          <w:color w:val="auto"/>
        </w:rPr>
      </w:pPr>
    </w:p>
    <w:p>
      <w:pPr>
        <w:ind w:firstLine="656"/>
        <w:spacing w:after="0" w:line="263" w:lineRule="auto"/>
        <w:tabs>
          <w:tab w:leader="none" w:pos="124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in the case of a Defaulting Lender that is a Revolving Lender, commitment fees shall cease to accrue on the unfunded portion of the Commitment of such Defaulting Lender pursuant to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15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the Loans and Commitments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amendment, waiver or other modification requiring the consent of all Lenders or all Lenders affected thereby shall, except as otherwise provided in </w:t>
      </w:r>
      <w:r>
        <w:rPr>
          <w:rFonts w:ascii="Arial" w:cs="Arial" w:eastAsia="Arial" w:hAnsi="Arial"/>
          <w:sz w:val="19"/>
          <w:szCs w:val="19"/>
          <w:u w:val="single" w:color="auto"/>
          <w:color w:val="auto"/>
        </w:rPr>
        <w:t>Section 9.02</w:t>
      </w:r>
      <w:r>
        <w:rPr>
          <w:rFonts w:ascii="Arial" w:cs="Arial" w:eastAsia="Arial" w:hAnsi="Arial"/>
          <w:sz w:val="19"/>
          <w:szCs w:val="19"/>
          <w:color w:val="auto"/>
        </w:rPr>
        <w:t>, require the consent of such Defaulting Lender in accordance with the terms hereof;</w:t>
      </w:r>
    </w:p>
    <w:p>
      <w:pPr>
        <w:spacing w:after="0" w:line="146" w:lineRule="exact"/>
        <w:rPr>
          <w:rFonts w:ascii="Arial" w:cs="Arial" w:eastAsia="Arial" w:hAnsi="Arial"/>
          <w:sz w:val="19"/>
          <w:szCs w:val="19"/>
          <w:color w:val="auto"/>
        </w:rPr>
      </w:pPr>
    </w:p>
    <w:p>
      <w:pPr>
        <w:ind w:firstLine="656"/>
        <w:spacing w:after="0" w:line="263" w:lineRule="auto"/>
        <w:tabs>
          <w:tab w:leader="none" w:pos="112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the case of a Defaulting Lender that is a Revolving Lender, if any LC Exposure exists at the time such Revolving Lender becomes a Defaulting Lender, then:</w:t>
      </w:r>
    </w:p>
    <w:p>
      <w:pPr>
        <w:spacing w:after="0" w:line="174" w:lineRule="exact"/>
        <w:rPr>
          <w:rFonts w:ascii="Arial" w:cs="Arial" w:eastAsia="Arial" w:hAnsi="Arial"/>
          <w:sz w:val="22"/>
          <w:szCs w:val="22"/>
          <w:color w:val="auto"/>
        </w:rPr>
      </w:pPr>
    </w:p>
    <w:p>
      <w:pPr>
        <w:jc w:val="both"/>
        <w:ind w:left="660" w:firstLine="644"/>
        <w:spacing w:after="0" w:line="246" w:lineRule="auto"/>
        <w:tabs>
          <w:tab w:leader="none" w:pos="193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all or any part of the LC Exposure (other than any portion thereof attributable to unreimbursed LC Disbursements with respect to which such Defaulting Lender shall have funded its participation as contemplated by </w:t>
      </w:r>
      <w:r>
        <w:rPr>
          <w:rFonts w:ascii="Arial" w:cs="Arial" w:eastAsia="Arial" w:hAnsi="Arial"/>
          <w:sz w:val="22"/>
          <w:szCs w:val="22"/>
          <w:u w:val="single" w:color="auto"/>
          <w:color w:val="auto"/>
        </w:rPr>
        <w:t>Sections 2.05(e)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2.05(f)</w:t>
      </w:r>
      <w:r>
        <w:rPr>
          <w:rFonts w:ascii="Arial" w:cs="Arial" w:eastAsia="Arial" w:hAnsi="Arial"/>
          <w:sz w:val="22"/>
          <w:szCs w:val="22"/>
          <w:color w:val="auto"/>
        </w:rPr>
        <w:t xml:space="preserve">) of such Defaulting Lender shall be reallocated among the Non-Defaulting Revolving Lenders in accordance with their respective Applicable Percentages but only to the extent that the sum of all Non-Defaulting Revolving Lenders’ Revolving Exposures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such Defaulting Lender’s LC Exposure does not exceed the sum of all Non-Defaulting Revolving Lenders’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reallocation under this clause (ii) shall constitute a waiver or release of any claim of any party hereunder against a Defaulting Lender arising from that Lender having become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28" w:right="339" w:bottom="1440" w:gutter="0" w:footer="0" w:header="0"/>
        </w:sectPr>
      </w:pPr>
    </w:p>
    <w:bookmarkStart w:id="173" w:name="page174"/>
    <w:bookmarkEnd w:id="173"/>
    <w:p>
      <w:pPr>
        <w:ind w:left="660"/>
        <w:spacing w:after="0" w:line="263" w:lineRule="auto"/>
        <w:rPr>
          <w:sz w:val="20"/>
          <w:szCs w:val="20"/>
          <w:color w:val="auto"/>
        </w:rPr>
      </w:pPr>
      <w:r>
        <w:rPr>
          <w:rFonts w:ascii="Arial" w:cs="Arial" w:eastAsia="Arial" w:hAnsi="Arial"/>
          <w:sz w:val="22"/>
          <w:szCs w:val="22"/>
          <w:color w:val="auto"/>
        </w:rPr>
        <w:t>including any claim of a Non-Defaulting Revolving Lender as a result of such Non-Defaulting Revolving Lender’s increased exposure following such reallocation;</w:t>
      </w:r>
    </w:p>
    <w:p>
      <w:pPr>
        <w:spacing w:after="0" w:line="175" w:lineRule="exact"/>
        <w:rPr>
          <w:sz w:val="20"/>
          <w:szCs w:val="20"/>
          <w:color w:val="auto"/>
        </w:rPr>
      </w:pPr>
    </w:p>
    <w:p>
      <w:pPr>
        <w:jc w:val="both"/>
        <w:ind w:left="660" w:firstLine="644"/>
        <w:spacing w:after="0" w:line="265" w:lineRule="auto"/>
        <w:tabs>
          <w:tab w:leader="none" w:pos="1803" w:val="left"/>
        </w:tabs>
        <w:numPr>
          <w:ilvl w:val="1"/>
          <w:numId w:val="112"/>
        </w:numPr>
        <w:rPr>
          <w:rFonts w:ascii="Arial" w:cs="Arial" w:eastAsia="Arial" w:hAnsi="Arial"/>
          <w:sz w:val="21"/>
          <w:szCs w:val="21"/>
          <w:color w:val="auto"/>
        </w:rPr>
      </w:pPr>
      <w:r>
        <w:rPr>
          <w:rFonts w:ascii="Arial" w:cs="Arial" w:eastAsia="Arial" w:hAnsi="Arial"/>
          <w:sz w:val="21"/>
          <w:szCs w:val="21"/>
          <w:color w:val="auto"/>
        </w:rPr>
        <w:t xml:space="preserve">if the reallocation described in clause (i) above cannot, or can only partially, be effected, the Borrowers shall within one Business Day following notice by the Administrative Agent cash collateralize for the benefit of the Issuing Banks the portion of such Defaulting Lender’s LC Exposure that has not been reallocated in accordance with the procedures set forth in </w:t>
      </w:r>
      <w:r>
        <w:rPr>
          <w:rFonts w:ascii="Arial" w:cs="Arial" w:eastAsia="Arial" w:hAnsi="Arial"/>
          <w:sz w:val="21"/>
          <w:szCs w:val="21"/>
          <w:u w:val="single" w:color="auto"/>
          <w:color w:val="auto"/>
        </w:rPr>
        <w:t>Section 2.05(i)</w:t>
      </w:r>
      <w:r>
        <w:rPr>
          <w:rFonts w:ascii="Arial" w:cs="Arial" w:eastAsia="Arial" w:hAnsi="Arial"/>
          <w:sz w:val="21"/>
          <w:szCs w:val="21"/>
          <w:color w:val="auto"/>
        </w:rPr>
        <w:t xml:space="preserve"> for so long as such LC Exposure is outstanding;</w:t>
      </w:r>
    </w:p>
    <w:p>
      <w:pPr>
        <w:spacing w:after="0" w:line="175" w:lineRule="exact"/>
        <w:rPr>
          <w:rFonts w:ascii="Arial" w:cs="Arial" w:eastAsia="Arial" w:hAnsi="Arial"/>
          <w:sz w:val="21"/>
          <w:szCs w:val="21"/>
          <w:color w:val="auto"/>
        </w:rPr>
      </w:pPr>
    </w:p>
    <w:p>
      <w:pPr>
        <w:ind w:left="1860" w:hanging="556"/>
        <w:spacing w:after="0"/>
        <w:tabs>
          <w:tab w:leader="none" w:pos="186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if the Borrowers cash collateralize any portion of such Defaulting Lender’s LC Exposure pursuant to clause</w:t>
      </w:r>
    </w:p>
    <w:p>
      <w:pPr>
        <w:spacing w:after="0" w:line="55" w:lineRule="exact"/>
        <w:rPr>
          <w:rFonts w:ascii="Arial" w:cs="Arial" w:eastAsia="Arial" w:hAnsi="Arial"/>
          <w:sz w:val="19"/>
          <w:szCs w:val="19"/>
          <w:color w:val="auto"/>
        </w:rPr>
      </w:pPr>
    </w:p>
    <w:p>
      <w:pPr>
        <w:jc w:val="both"/>
        <w:ind w:left="660" w:hanging="4"/>
        <w:spacing w:after="0" w:line="245" w:lineRule="auto"/>
        <w:tabs>
          <w:tab w:leader="none" w:pos="10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above, the Borrowers shall not be required to pay participation fees to such Defaulting Lender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2.12(b)</w:t>
      </w:r>
      <w:r>
        <w:rPr>
          <w:rFonts w:ascii="Arial" w:cs="Arial" w:eastAsia="Arial" w:hAnsi="Arial"/>
          <w:sz w:val="22"/>
          <w:szCs w:val="22"/>
          <w:color w:val="auto"/>
        </w:rPr>
        <w:t xml:space="preserve"> with respect to such portion of such Defaulting Lender’s LC Exposure for so long as such Defaulting Lender’s LC Exposure is cash collateralized;</w:t>
      </w:r>
    </w:p>
    <w:p>
      <w:pPr>
        <w:spacing w:after="0" w:line="192" w:lineRule="exact"/>
        <w:rPr>
          <w:rFonts w:ascii="Arial" w:cs="Arial" w:eastAsia="Arial" w:hAnsi="Arial"/>
          <w:sz w:val="22"/>
          <w:szCs w:val="22"/>
          <w:color w:val="auto"/>
        </w:rPr>
      </w:pPr>
    </w:p>
    <w:p>
      <w:pPr>
        <w:jc w:val="both"/>
        <w:ind w:left="660" w:firstLine="644"/>
        <w:spacing w:after="0" w:line="253" w:lineRule="auto"/>
        <w:tabs>
          <w:tab w:leader="none" w:pos="1841" w:val="left"/>
        </w:tabs>
        <w:numPr>
          <w:ilvl w:val="1"/>
          <w:numId w:val="113"/>
        </w:numPr>
        <w:rPr>
          <w:rFonts w:ascii="Arial" w:cs="Arial" w:eastAsia="Arial" w:hAnsi="Arial"/>
          <w:sz w:val="22"/>
          <w:szCs w:val="22"/>
          <w:color w:val="auto"/>
        </w:rPr>
      </w:pPr>
      <w:r>
        <w:rPr>
          <w:rFonts w:ascii="Arial" w:cs="Arial" w:eastAsia="Arial" w:hAnsi="Arial"/>
          <w:sz w:val="22"/>
          <w:szCs w:val="22"/>
          <w:color w:val="auto"/>
        </w:rPr>
        <w:t xml:space="preserve">if any portion of the LC Exposure of such Defaulting Lender is reallocated pursuant to clause (i) above, then the fees payable to the Lenders pursuant to </w:t>
      </w:r>
      <w:r>
        <w:rPr>
          <w:rFonts w:ascii="Arial" w:cs="Arial" w:eastAsia="Arial" w:hAnsi="Arial"/>
          <w:sz w:val="22"/>
          <w:szCs w:val="22"/>
          <w:u w:val="single" w:color="auto"/>
          <w:color w:val="auto"/>
        </w:rPr>
        <w:t>Sections 2.12(a)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2.12(b)</w:t>
      </w:r>
      <w:r>
        <w:rPr>
          <w:rFonts w:ascii="Arial" w:cs="Arial" w:eastAsia="Arial" w:hAnsi="Arial"/>
          <w:sz w:val="22"/>
          <w:szCs w:val="22"/>
          <w:color w:val="auto"/>
        </w:rPr>
        <w:t xml:space="preserve"> shall be adjusted to give effect to such reallocation; and</w:t>
      </w:r>
    </w:p>
    <w:p>
      <w:pPr>
        <w:spacing w:after="0" w:line="185" w:lineRule="exact"/>
        <w:rPr>
          <w:rFonts w:ascii="Arial" w:cs="Arial" w:eastAsia="Arial" w:hAnsi="Arial"/>
          <w:sz w:val="22"/>
          <w:szCs w:val="22"/>
          <w:color w:val="auto"/>
        </w:rPr>
      </w:pPr>
    </w:p>
    <w:p>
      <w:pPr>
        <w:jc w:val="both"/>
        <w:ind w:left="660" w:firstLine="644"/>
        <w:spacing w:after="0" w:line="261" w:lineRule="auto"/>
        <w:tabs>
          <w:tab w:leader="none" w:pos="1827" w:val="left"/>
        </w:tabs>
        <w:numPr>
          <w:ilvl w:val="1"/>
          <w:numId w:val="113"/>
        </w:numPr>
        <w:rPr>
          <w:rFonts w:ascii="Arial" w:cs="Arial" w:eastAsia="Arial" w:hAnsi="Arial"/>
          <w:sz w:val="21"/>
          <w:szCs w:val="21"/>
          <w:color w:val="auto"/>
        </w:rPr>
      </w:pPr>
      <w:r>
        <w:rPr>
          <w:rFonts w:ascii="Arial" w:cs="Arial" w:eastAsia="Arial" w:hAnsi="Arial"/>
          <w:sz w:val="21"/>
          <w:szCs w:val="21"/>
          <w:color w:val="auto"/>
        </w:rPr>
        <w:t xml:space="preserve">if all or any portion of such Defaulting Lender’s LC Exposure is neither reallocated nor cash collateralized pursuant to clause (i) or (ii) above, then, without prejudice to any rights or remedies of any Issuing Bank or any other Lender hereunder, all participation fees payable under </w:t>
      </w:r>
      <w:r>
        <w:rPr>
          <w:rFonts w:ascii="Arial" w:cs="Arial" w:eastAsia="Arial" w:hAnsi="Arial"/>
          <w:sz w:val="21"/>
          <w:szCs w:val="21"/>
          <w:u w:val="single" w:color="auto"/>
          <w:color w:val="auto"/>
        </w:rPr>
        <w:t>Section 2.12(b)</w:t>
      </w:r>
      <w:r>
        <w:rPr>
          <w:rFonts w:ascii="Arial" w:cs="Arial" w:eastAsia="Arial" w:hAnsi="Arial"/>
          <w:sz w:val="21"/>
          <w:szCs w:val="21"/>
          <w:color w:val="auto"/>
        </w:rPr>
        <w:t xml:space="preserve">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179" w:lineRule="exact"/>
        <w:rPr>
          <w:sz w:val="20"/>
          <w:szCs w:val="20"/>
          <w:color w:val="auto"/>
        </w:rPr>
      </w:pPr>
    </w:p>
    <w:p>
      <w:pPr>
        <w:jc w:val="both"/>
        <w:ind w:firstLine="656"/>
        <w:spacing w:after="0" w:line="294" w:lineRule="auto"/>
        <w:tabs>
          <w:tab w:leader="none" w:pos="118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so long as such Lender is a Defaulting Lender, in the case of a Defaulting Lender that is a Revolving Lender, no Issuing Bank shall be required to issue, amend, renew or extend any Letter of Credit unless it is satisfied that the related exposure and the Defaulting Lender’s then outstanding LC Exposure will be fully covered by the Commitments of the Non-Defaulting Revolving Lenders and/or cash collateral provided by the Borrowers in accordance with </w:t>
      </w:r>
      <w:r>
        <w:rPr>
          <w:rFonts w:ascii="Arial" w:cs="Arial" w:eastAsia="Arial" w:hAnsi="Arial"/>
          <w:sz w:val="19"/>
          <w:szCs w:val="19"/>
          <w:u w:val="single" w:color="auto"/>
          <w:color w:val="auto"/>
        </w:rPr>
        <w:t>Section 2.20(c)</w:t>
      </w:r>
      <w:r>
        <w:rPr>
          <w:rFonts w:ascii="Arial" w:cs="Arial" w:eastAsia="Arial" w:hAnsi="Arial"/>
          <w:sz w:val="19"/>
          <w:szCs w:val="19"/>
          <w:color w:val="auto"/>
        </w:rPr>
        <w:t xml:space="preserve">, and participating interests in any such issued, amended, renewed or extended Letter of Credit will be allocated among the Non-Defaulting Revolving Lenders in a manner consistent with </w:t>
      </w:r>
      <w:r>
        <w:rPr>
          <w:rFonts w:ascii="Arial" w:cs="Arial" w:eastAsia="Arial" w:hAnsi="Arial"/>
          <w:sz w:val="19"/>
          <w:szCs w:val="19"/>
          <w:u w:val="single" w:color="auto"/>
          <w:color w:val="auto"/>
        </w:rPr>
        <w:t>Section 2.20(c)(i)</w:t>
      </w:r>
      <w:r>
        <w:rPr>
          <w:rFonts w:ascii="Arial" w:cs="Arial" w:eastAsia="Arial" w:hAnsi="Arial"/>
          <w:sz w:val="19"/>
          <w:szCs w:val="19"/>
          <w:color w:val="auto"/>
        </w:rPr>
        <w:t xml:space="preserve"> (and such Defaulting Lender shall not participate therein).</w:t>
      </w:r>
    </w:p>
    <w:p>
      <w:pPr>
        <w:spacing w:after="0" w:line="1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the event that (i) a Bankruptcy Event or a Bail-In Action with respect to a direct or indirect parent company of a Lender shall occur following the Effective Date and for so long as such Bankruptcy Event or Bail-In Action shall continue or (ii) any applicable Issuing Bank has a good faith belief that any Lender has defaulted in fulfilling its obligations under one or more other agreements in which such Lender commits to extend credit, such Issuing Bank shall not be required to issue, amend, renew or extend any Letter of Credit, unless such Issuing Bank shall have entered into arrangements with the applicable Borrower or the applicable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28" w:right="3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Lender, satisfactory to such Issuing Bank to defease any risk to it in respect of such Lender hereunder.</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In the event that the Administrative Agent, the Company and each applicable Issuing Bank each agrees that a Defaulting Lender has adequately remedied all matters that caused the applicable Lender to be a Defaulting Lender, then the LC Exposure of the Revolving Lenders shall be readjusted to reflect the inclusion of such Lender’s Commitment and on such date such Lender shall purchase at par such of the Revolving Loans of the other Revolving Lenders as the Administrative Agent shall determine may be necessary in order for such Lender to hold such Revolving Loans in accordance with its Applicable Percentage;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Borrowers while such Lender was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except as otherwise expressly agreed by the affected parties, no change hereunder from a Defaulting Lender to a non-Defaulting Lender will constitute a waiver or release of any claim of any party hereunder arising from such Lender’s having been a Defaulting Lender.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Borrower (with respect to itself and, where applicable, its respective Subsidiaries) represents and warrants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each of the Issuing Banks and each of the Lenders that:</w:t>
      </w:r>
    </w:p>
    <w:p>
      <w:pPr>
        <w:spacing w:after="0" w:line="20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Organization; Powers</w:t>
      </w:r>
      <w:r>
        <w:rPr>
          <w:rFonts w:ascii="Arial" w:cs="Arial" w:eastAsia="Arial" w:hAnsi="Arial"/>
          <w:sz w:val="22"/>
          <w:szCs w:val="22"/>
          <w:color w:val="auto"/>
        </w:rPr>
        <w:t>. Each Borrower and each Restricted Subsidiary (a) is duly organized, incorporated or established, validly existing and, to the extent that such concept is applicable in the relevant jurisdiction, in good standing under the laws of the jurisdiction of its organization, incorporation or establishment except, in the case of any Restricted Subsidiary that is not a Loan Party, to the extent the failure of such Restricted Subsidiary to be in good standing would not reasonably be expected to have a Material Adverse Effect, (b) has all requisite power and authority, and the legal right, to carry on its business as now conducted and as proposed to be conducted, and (c) except where the failure to do so, individually or in the aggregate, could not reasonably be expected to result in a Material Adverse Effect, is qualified to do business in, and, to the extent that such concept is applicable in the relevant jurisdiction, is in good standing in, every jurisdiction where such qualification is required.</w:t>
      </w:r>
    </w:p>
    <w:p>
      <w:pPr>
        <w:spacing w:after="0" w:line="20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Authorization; Due Execution and Delivery; Enforceability</w:t>
      </w:r>
      <w:r>
        <w:rPr>
          <w:rFonts w:ascii="Arial" w:cs="Arial" w:eastAsia="Arial" w:hAnsi="Arial"/>
          <w:sz w:val="19"/>
          <w:szCs w:val="19"/>
          <w:i w:val="1"/>
          <w:iCs w:val="1"/>
          <w:color w:val="auto"/>
        </w:rPr>
        <w:t>.</w:t>
      </w:r>
      <w:r>
        <w:rPr>
          <w:rFonts w:ascii="Arial" w:cs="Arial" w:eastAsia="Arial" w:hAnsi="Arial"/>
          <w:sz w:val="19"/>
          <w:szCs w:val="19"/>
          <w:color w:val="auto"/>
        </w:rPr>
        <w:t xml:space="preserve"> Each Loan Party has all requisite power and authority to execute, deliver and perform its obligations under each Loan Document to which it is a party. The execution, delivery and performance by each Loan Party of each Loan Document to which such Person is a party have been duly authorized by all necessary corporate or other organizational action and, if required, action by the holders of such Loan Party’s Equity Interests. This Agreement has been duly executed and delivered by the Borrowers and constitutes, and each other Loan Document to which any Loan Party is to be a party, when executed and delivered by such Loan Party, will constitute, a legal, valid and binding obligation of the Borrowers or such Loan Party, as applicable,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28" w:right="339" w:bottom="1440" w:gutter="0" w:footer="0" w:header="0"/>
        </w:sectPr>
      </w:pPr>
    </w:p>
    <w:bookmarkStart w:id="175" w:name="page176"/>
    <w:bookmarkEnd w:id="175"/>
    <w:p>
      <w:pPr>
        <w:jc w:val="both"/>
        <w:spacing w:after="0" w:line="312" w:lineRule="auto"/>
        <w:rPr>
          <w:sz w:val="20"/>
          <w:szCs w:val="20"/>
          <w:color w:val="auto"/>
        </w:rPr>
      </w:pPr>
      <w:r>
        <w:rPr>
          <w:rFonts w:ascii="Arial" w:cs="Arial" w:eastAsia="Arial" w:hAnsi="Arial"/>
          <w:sz w:val="19"/>
          <w:szCs w:val="19"/>
          <w:color w:val="auto"/>
        </w:rPr>
        <w:t>against such Person in accordance with its terms, subject to applicable bankruptcy, insolvency, fraudulent conveyance, reorganization, moratorium or other laws affecting creditors’ rights generally and subject to general principles of equity, regardless of whether considered in a proceeding in equity or at law and an implied covenant of good faith and fair dealing.</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The execution, delivery and performance by each Loan Party of each Loan Document to which such Person is a party (a) as of the date such Loan Document is executed, will not require any consent or approval of, registration or filing with, or any other action by, any Governmental Authority, except such as have been obtained or made and are in full force and effect and except (i) registrations or filings necessary to perfect Liens created under the Loan Documents and payment of applicable stamp duty in respect of the Loan Documents, (ii) consents, approvals, registrations or filings which have been obtained or made and are in full force and effect or (iii) where failure to obtain such consent or approval, or make such registration or filing, in the aggregate, could not reasonably be expected to have a Material Adverse Effect, (b) will not violate any Requirement of Law applicable to a Borrower or any Restricted Subsidiary, (c) will not violate or result (alone or with notice or lapse of time or both) in a default under any indenture, agreement or other instrument binding upon a Borrower or any Restricted Subsidiary or their respective assets, or give rise to a right thereunder to require any payment, repurchase or redemption to be made by a Borrower or any Restricted Subsidiary or give rise to a right of, or result in, termination, cancelation or acceleration of any obligation thereunder, except with respect to any violation, default, payment, repurchase, redemption, termination, cancellation or acceleration that would not reasonably be expected to have a Material Adverse Effect and (d) will not result in the creation or imposition of any Lien on any asset now owned or hereafter acquired by a Borrower or any Restricted Subsidiary, except Liens created under the Loan Documents.</w:t>
      </w:r>
    </w:p>
    <w:p>
      <w:pPr>
        <w:spacing w:after="0" w:line="15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Financial Condition; No Material Adverse Change</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9" w:lineRule="auto"/>
        <w:tabs>
          <w:tab w:leader="none" w:pos="120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Company heretofore furnished to the Administrative Agent (i) the Company’s audited consolidated balance sheets and the related consolidated statements of operations, shareholder’s equity and cash flows as of and for the fiscal years ended December 31, 2017, December 31, 2018 and December 31, 2019 and (ii) the unaudited consolidated balance sheets and related statements of income, comprehensive income, changes in stockholders’ equity and cash flows of the Company, subject to normal year-end adjustments, for the fiscal quarters ended on or about March 31, 2020, June 30, 2020 and September 30, 2020. Such financial statements present fairly, in all material respects, the financial position and results of operations and cash flows of the Company and its Subsidiaries on a consolidated basis as of such dates and for such periods in accordance with GAAP consistently applied.</w:t>
      </w:r>
    </w:p>
    <w:p>
      <w:pPr>
        <w:spacing w:after="0" w:line="183" w:lineRule="exact"/>
        <w:rPr>
          <w:rFonts w:ascii="Arial" w:cs="Arial" w:eastAsia="Arial" w:hAnsi="Arial"/>
          <w:sz w:val="21"/>
          <w:szCs w:val="21"/>
          <w:color w:val="auto"/>
        </w:rPr>
      </w:pPr>
    </w:p>
    <w:p>
      <w:pPr>
        <w:ind w:right="20" w:firstLine="656"/>
        <w:spacing w:after="0" w:line="263" w:lineRule="auto"/>
        <w:tabs>
          <w:tab w:leader="none" w:pos="123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 event, change or condition has occurred that has had, or would reasonably be expected to have, a Material Adverse Effect since December 31, 2019.</w:t>
      </w:r>
    </w:p>
    <w:p>
      <w:pPr>
        <w:spacing w:after="0" w:line="17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63" w:lineRule="auto"/>
        <w:tabs>
          <w:tab w:leader="none" w:pos="117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Each Borrower and each Restricted Subsidiary has good and marketable title to, all its property necessary for the conduct of its business (including the Mortgaged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28" w:right="339" w:bottom="1440" w:gutter="0" w:footer="0" w:header="0"/>
        </w:sectPr>
      </w:pPr>
    </w:p>
    <w:bookmarkStart w:id="176" w:name="page177"/>
    <w:bookmarkEnd w:id="176"/>
    <w:p>
      <w:pPr>
        <w:jc w:val="both"/>
        <w:spacing w:after="0" w:line="265" w:lineRule="auto"/>
        <w:rPr>
          <w:sz w:val="20"/>
          <w:szCs w:val="20"/>
          <w:color w:val="auto"/>
        </w:rPr>
      </w:pPr>
      <w:r>
        <w:rPr>
          <w:rFonts w:ascii="Arial" w:cs="Arial" w:eastAsia="Arial" w:hAnsi="Arial"/>
          <w:sz w:val="21"/>
          <w:szCs w:val="21"/>
          <w:color w:val="auto"/>
        </w:rPr>
        <w:t xml:space="preserve">except for minor defects in title that do not interfere with its ability to conduct its business as currently conducted or as proposed to be conducted or to utilize such properties for their intended purposes. All such property is free and clear of Liens, other than Liens expressly permitted by </w:t>
      </w:r>
      <w:r>
        <w:rPr>
          <w:rFonts w:ascii="Arial" w:cs="Arial" w:eastAsia="Arial" w:hAnsi="Arial"/>
          <w:sz w:val="21"/>
          <w:szCs w:val="21"/>
          <w:u w:val="single" w:color="auto"/>
          <w:color w:val="auto"/>
        </w:rPr>
        <w:t>Section 6.02</w:t>
      </w:r>
      <w:r>
        <w:rPr>
          <w:rFonts w:ascii="Arial" w:cs="Arial" w:eastAsia="Arial" w:hAnsi="Arial"/>
          <w:sz w:val="21"/>
          <w:szCs w:val="21"/>
          <w:color w:val="auto"/>
        </w:rPr>
        <w:t>. Each Borrower and each Restricted Subsidiary is the legal and beneficial owner of the property necessary for the conduct of its business (including the Mortgaged Properties).</w:t>
      </w:r>
    </w:p>
    <w:p>
      <w:pPr>
        <w:spacing w:after="0" w:line="175" w:lineRule="exact"/>
        <w:rPr>
          <w:sz w:val="20"/>
          <w:szCs w:val="20"/>
          <w:color w:val="auto"/>
        </w:rPr>
      </w:pPr>
    </w:p>
    <w:p>
      <w:pPr>
        <w:jc w:val="both"/>
        <w:ind w:firstLine="656"/>
        <w:spacing w:after="0" w:line="287" w:lineRule="auto"/>
        <w:tabs>
          <w:tab w:leader="none" w:pos="116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Each Borrower and each Restricted Subsidiary owns, or has secured the rights to use, all trademarks, trade names, copyrights, patents and other intellectual property used in its business as currently conducted, and the operation of the respective businesses as currently operated by each Borrower and each Restricted Subsidiary does not infringe upon, misappropriate or otherwise violate the rights of any other Person, except, in each case, for any such failures to own or have rights to use, or any such infringements that, individually or in the aggregate, could not reasonably be expected to result in a Material Adverse Effect. No claim or litigation regarding any trademarks, trade names, copyrights, patents or other intellectual property (i) owned by a Borrower or any Restricted Subsidiary is pending; (ii) used by a Borrower or any Restricted Subsidiary, to the Knowledge of the Borrowers or any Restricted Subsidiary, is pending; or (iii) owned or used by a Borrower or any Restricted Subsidiary, to the Knowledge of the Borrowers or any Restricted Subsidiary, is threatened against a Borrower or any Restricted Subsidiary that, in each of (i), (ii) and (iii) individually or in the aggregate, could reasonably be expected to result in a Material Adverse Effect. Each Borrower and Restricted Subsidiary has taken commercially reasonable measures to protect and maintain the confidentiality of its material trade secrets.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247" w:lineRule="auto"/>
        <w:tabs>
          <w:tab w:leader="none" w:pos="125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As of the Effective Date, none of the Borrowers or any Restricted Subsidiary has received notice of, or has Knowledge of, any pending or contemplated condemnation proceeding affecting any Mortgaged Property or any sale or disposition thereof in lieu of condemnation, or any dispute in relation to the Mortgaged Property, any breach of any of the covenants affecting the title to the Mortgaged Property or, where such property is leasehold, any of the covenants within the relevant lease. Neither any Mortgaged Property nor any interest therein is subject to any right of first refusal, option or other contractual right to purchase such Mortgaged Property or interest therein.</w:t>
      </w:r>
    </w:p>
    <w:p>
      <w:pPr>
        <w:spacing w:after="0" w:line="193"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63" w:lineRule="auto"/>
        <w:tabs>
          <w:tab w:leader="none" w:pos="1238"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There are no actions, suits, investigations or proceedings at law or in equity or by or before any arbitrator or Governmental Authority pending against or, to the Knowledge of the Borrowers or any Restricted Subsidiary, threatened against or affecting a Borrower or any Restricted Subsidiary or any business, property or rights (other than intellectual property rights, which are addressed in </w:t>
      </w:r>
      <w:r>
        <w:rPr>
          <w:rFonts w:ascii="Arial" w:cs="Arial" w:eastAsia="Arial" w:hAnsi="Arial"/>
          <w:sz w:val="21"/>
          <w:szCs w:val="21"/>
          <w:u w:val="single" w:color="auto"/>
          <w:color w:val="auto"/>
        </w:rPr>
        <w:t>Section 3.05(b)</w:t>
      </w:r>
      <w:r>
        <w:rPr>
          <w:rFonts w:ascii="Arial" w:cs="Arial" w:eastAsia="Arial" w:hAnsi="Arial"/>
          <w:sz w:val="21"/>
          <w:szCs w:val="21"/>
          <w:color w:val="auto"/>
        </w:rPr>
        <w:t>) of any such Person (i) that could reasonably be expected, individually or in the aggregate, to result in a Material Adverse Effect or (ii) that involve any of the Loan Documents.</w:t>
      </w:r>
    </w:p>
    <w:p>
      <w:pPr>
        <w:spacing w:after="0" w:line="175" w:lineRule="exact"/>
        <w:rPr>
          <w:rFonts w:ascii="Arial" w:cs="Arial" w:eastAsia="Arial" w:hAnsi="Arial"/>
          <w:sz w:val="21"/>
          <w:szCs w:val="21"/>
          <w:color w:val="auto"/>
        </w:rPr>
      </w:pPr>
    </w:p>
    <w:p>
      <w:pPr>
        <w:ind w:firstLine="656"/>
        <w:spacing w:after="0" w:line="263" w:lineRule="auto"/>
        <w:tabs>
          <w:tab w:leader="none" w:pos="115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Except with respect to any matters that, individually or in the aggregate,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28" w:right="339" w:bottom="1440" w:gutter="0" w:footer="0" w:header="0"/>
        </w:sectPr>
      </w:pPr>
    </w:p>
    <w:bookmarkStart w:id="177" w:name="page178"/>
    <w:bookmarkEnd w:id="177"/>
    <w:p>
      <w:pPr>
        <w:jc w:val="both"/>
        <w:ind w:left="660" w:firstLine="644"/>
        <w:spacing w:after="0" w:line="253" w:lineRule="auto"/>
        <w:tabs>
          <w:tab w:leader="none" w:pos="181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Each of the Borrowers and each Restricted Subsidiary is in compliance with all applicable Environmental Laws and has obtained, maintains and is in compliance with all permits, licenses and other approvals required under applicable Environmental Laws,</w:t>
      </w:r>
    </w:p>
    <w:p>
      <w:pPr>
        <w:spacing w:after="0" w:line="185" w:lineRule="exact"/>
        <w:rPr>
          <w:rFonts w:ascii="Arial" w:cs="Arial" w:eastAsia="Arial" w:hAnsi="Arial"/>
          <w:sz w:val="22"/>
          <w:szCs w:val="22"/>
          <w:color w:val="auto"/>
        </w:rPr>
      </w:pPr>
    </w:p>
    <w:p>
      <w:pPr>
        <w:ind w:left="660" w:firstLine="644"/>
        <w:spacing w:after="0" w:line="263" w:lineRule="auto"/>
        <w:tabs>
          <w:tab w:leader="none" w:pos="179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None of the Borrowers or any Restricted Subsidiary is subject to any Environmental Liability or has received notice of any claim with respect to any Environmental Liability,</w:t>
      </w:r>
    </w:p>
    <w:p>
      <w:pPr>
        <w:spacing w:after="0" w:line="174" w:lineRule="exact"/>
        <w:rPr>
          <w:rFonts w:ascii="Arial" w:cs="Arial" w:eastAsia="Arial" w:hAnsi="Arial"/>
          <w:sz w:val="22"/>
          <w:szCs w:val="22"/>
          <w:color w:val="auto"/>
        </w:rPr>
      </w:pPr>
    </w:p>
    <w:p>
      <w:pPr>
        <w:jc w:val="both"/>
        <w:ind w:left="660" w:firstLine="644"/>
        <w:spacing w:after="0" w:line="297" w:lineRule="auto"/>
        <w:tabs>
          <w:tab w:leader="none" w:pos="187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None of the Borrowers or any Restricted Subsidiary has any present or, to the Knowledge of the Borrowers or any Restricted Subsidiary, past operations or properties subject to any federal, state or local investigation to determine whether any remedial action is needed to address any Release of Hazardous Materials, and to the Knowledge of the Borrowers, there has been no Release of Hazardous Materials in connection with such operations or at such properties that would reasonably be expected to result in any Environmental Liability to any Borrower or Restricted Subsidiary.</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Borrower and each of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8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u w:val="single" w:color="auto"/>
          <w:color w:val="auto"/>
        </w:rPr>
        <w:t>Anti-Terrorism Laws; Anti-Corruption Laws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0" w:lineRule="auto"/>
        <w:tabs>
          <w:tab w:leader="none" w:pos="115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To the extent applicable, the Borrowers and the Restricted Subsidiaries are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187" w:lineRule="exact"/>
        <w:rPr>
          <w:rFonts w:ascii="Arial" w:cs="Arial" w:eastAsia="Arial" w:hAnsi="Arial"/>
          <w:sz w:val="22"/>
          <w:szCs w:val="22"/>
          <w:color w:val="auto"/>
        </w:rPr>
      </w:pPr>
    </w:p>
    <w:p>
      <w:pPr>
        <w:jc w:val="both"/>
        <w:ind w:firstLine="656"/>
        <w:spacing w:after="0" w:line="288" w:lineRule="auto"/>
        <w:tabs>
          <w:tab w:leader="none" w:pos="114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Borrowers have implemented and maintain in effect policies and procedures designed to ensure compliance by the Borrowers, their Subsidiaries and their respective directors, officers, employees and agents (in each case, in their capacity related to the Borrowers or their Subsidiaries) with Anti-Corruption Laws and applicable Sanctions, and the Borrowers, their Subsidiaries and their respective officers and directors and to the Knowledge of the Borrowers their employees and agents (in each case, in their capacity related to the Borrowers or their Subsidiaries), are in compliance with Anti-Corruption Laws and applicable Sanctions in all material respects and are not knowingly engaged in any activity that would reasonably be expected to result in a Borrower being designated as a Sanctioned Person. None of (a) the Borrowers, any Subsidiary, any of their respective directors or officers or employees, or (b) to the Knowledge of the Borrowers, any agent of the Borrowers or any Subsidiary that will act in any capacity in connection with or benefit from the credit facility established hereby, is a Sanctioned Person. No Borrowing or Letter of Credit, use of proceeds or Transaction will violate any Anti-Corruption Law or applicable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28" w:right="339" w:bottom="1440" w:gutter="0" w:footer="0" w:header="0"/>
        </w:sectPr>
      </w:pPr>
    </w:p>
    <w:bookmarkStart w:id="178" w:name="page179"/>
    <w:bookmarkEnd w:id="178"/>
    <w:p>
      <w:pPr>
        <w:jc w:val="both"/>
        <w:ind w:firstLine="648"/>
        <w:spacing w:after="0" w:line="263"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None of the Borrowers or any Restricted Subsidiary is an “investment company” as defined in, or subject to regulation under, the Investment Company Act.</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None of the Borrowers or any Restricted Subsidiary is engaged or will engage, principally or as one of their important activities, in the business of purchasing or carrying margin stock (within the meaning of Regulation U of the Federal Reserve Board) or extending credit for the purpose of purchasing or carrying margin stock. No part of the proceeds of the Loans will be used, directly or indirectly, for any purpose that entails a violation (including on the part of any Lender) of any of the regulations of the Federal Reserve Board, including Regulations T, U and X.</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Taxes</w:t>
      </w:r>
      <w:r>
        <w:rPr>
          <w:rFonts w:ascii="Arial" w:cs="Arial" w:eastAsia="Arial" w:hAnsi="Arial"/>
          <w:sz w:val="21"/>
          <w:szCs w:val="21"/>
          <w:color w:val="auto"/>
        </w:rPr>
        <w:t>. Except to the extent that failure to do so would not reasonably be expected, individually or in the aggregate, to result in a Material Adverse Effect, each Borrower and each Restricted Subsidiary (a) has timely filed or caused to be filed all Tax returns and reports required to have been filed by it and (b) has paid or caused to be paid all Taxes required to have been paid by it (including in its capacity as a withholding agent), except where the validity or amount thereof is being contested in good faith by appropriate proceedings and where such Borrower or such Restricted Subsidiary, as applicable, have set aside on their books adequate reserves therefor in accordance with GAAP; no Tax Lien has been filed, and no claim is being asserted, with respect to any such Tax, fee or other charge.</w:t>
      </w:r>
    </w:p>
    <w:p>
      <w:pPr>
        <w:spacing w:after="0" w:line="18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ERISA</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47" w:lineRule="auto"/>
        <w:tabs>
          <w:tab w:leader="none" w:pos="112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Except as would not reasonably be expected, individually or in the aggregate, to have a Material Adverse Effect, no ERISA Event has occurred or is reasonably expected to occur. The present value of all accumulated benefit obligations under each Plan (based on the assumptions used for purposes of Accounting Standards Codification Topic 715) would not, as of the date of the most recent financial statements of the Company, exceed the fair market value of the assets of such Plan by an amount that, individually or in the aggregate together with all other Plans, would reasonably be expected to have a Material Adverse Effect.</w:t>
      </w:r>
    </w:p>
    <w:p>
      <w:pPr>
        <w:spacing w:after="0" w:line="192" w:lineRule="exact"/>
        <w:rPr>
          <w:rFonts w:ascii="Arial" w:cs="Arial" w:eastAsia="Arial" w:hAnsi="Arial"/>
          <w:sz w:val="22"/>
          <w:szCs w:val="22"/>
          <w:color w:val="auto"/>
        </w:rPr>
      </w:pPr>
    </w:p>
    <w:p>
      <w:pPr>
        <w:jc w:val="both"/>
        <w:ind w:firstLine="656"/>
        <w:spacing w:after="0" w:line="302" w:lineRule="auto"/>
        <w:tabs>
          <w:tab w:leader="none" w:pos="112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None of the Company or any of its Subsidiaries is an entity deemed to hold “plan assets” (within the meaning of the Plan Asset Regulations), and to the Knowledge of the Borrowers neither the execution, delivery 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4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Disclosure.</w:t>
      </w:r>
    </w:p>
    <w:p>
      <w:pPr>
        <w:spacing w:after="0" w:line="220" w:lineRule="exact"/>
        <w:rPr>
          <w:sz w:val="20"/>
          <w:szCs w:val="20"/>
          <w:color w:val="auto"/>
        </w:rPr>
      </w:pPr>
    </w:p>
    <w:p>
      <w:pPr>
        <w:jc w:val="both"/>
        <w:ind w:firstLine="656"/>
        <w:spacing w:after="0" w:line="250" w:lineRule="auto"/>
        <w:tabs>
          <w:tab w:leader="none" w:pos="11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None of the reports, financial statements, certificates or other written information furnished by or on behalf of the Company or any Restricted Subsidiary to the Arrangers, the Administrative Agent, any Issuing Bank or any Lender on or before the Effective Date in connection with the negotiation of this Agreement or any other Loan Document, included herein or therein or furnished hereunder or thereunder (as modified or supplemented by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28" w:right="339" w:bottom="1440" w:gutter="0" w:footer="0" w:header="0"/>
        </w:sectPr>
      </w:pPr>
    </w:p>
    <w:bookmarkStart w:id="179" w:name="page180"/>
    <w:bookmarkEnd w:id="179"/>
    <w:p>
      <w:pPr>
        <w:jc w:val="both"/>
        <w:spacing w:after="0" w:line="294" w:lineRule="auto"/>
        <w:rPr>
          <w:sz w:val="20"/>
          <w:szCs w:val="20"/>
          <w:color w:val="auto"/>
        </w:rPr>
      </w:pPr>
      <w:r>
        <w:rPr>
          <w:rFonts w:ascii="Arial" w:cs="Arial" w:eastAsia="Arial" w:hAnsi="Arial"/>
          <w:sz w:val="19"/>
          <w:szCs w:val="19"/>
          <w:color w:val="auto"/>
        </w:rPr>
        <w:t xml:space="preserve">information so furnished and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Company represents only that such information was prepared in good faith based upon assumptions believed by it to be reasonable at the time so furnished and, if such projected financial information was furnished prior to the Effective Date, as of the Effective Date (it being understood and agreed that any such projected financial information may vary from actual results and that such variations may be material).</w:t>
      </w:r>
    </w:p>
    <w:p>
      <w:pPr>
        <w:spacing w:after="0" w:line="149" w:lineRule="exact"/>
        <w:rPr>
          <w:sz w:val="20"/>
          <w:szCs w:val="20"/>
          <w:color w:val="auto"/>
        </w:rPr>
      </w:pPr>
    </w:p>
    <w:p>
      <w:pPr>
        <w:jc w:val="both"/>
        <w:ind w:firstLine="656"/>
        <w:spacing w:after="0" w:line="253" w:lineRule="auto"/>
        <w:tabs>
          <w:tab w:leader="none" w:pos="125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As of the Effective Date, to the best knowledge of the Borrowers, the information included in the Beneficial Ownership Certification provided on or prior to the Effective Date to any Lender in connection with this Agreement is true and correct in all respects.</w:t>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3.14. </w:t>
      </w:r>
      <w:r>
        <w:rPr>
          <w:rFonts w:ascii="Arial" w:cs="Arial" w:eastAsia="Arial" w:hAnsi="Arial"/>
          <w:sz w:val="21"/>
          <w:szCs w:val="21"/>
          <w:u w:val="single" w:color="auto"/>
          <w:color w:val="auto"/>
        </w:rPr>
        <w:t>Subsidiaries</w:t>
      </w:r>
      <w:r>
        <w:rPr>
          <w:rFonts w:ascii="Arial" w:cs="Arial" w:eastAsia="Arial" w:hAnsi="Arial"/>
          <w:sz w:val="21"/>
          <w:szCs w:val="21"/>
          <w:color w:val="auto"/>
        </w:rPr>
        <w:t xml:space="preserve">. As of the Effective Date, </w:t>
      </w:r>
      <w:r>
        <w:rPr>
          <w:rFonts w:ascii="Arial" w:cs="Arial" w:eastAsia="Arial" w:hAnsi="Arial"/>
          <w:sz w:val="21"/>
          <w:szCs w:val="21"/>
          <w:u w:val="single" w:color="auto"/>
          <w:color w:val="auto"/>
        </w:rPr>
        <w:t>Schedule 3.14</w:t>
      </w:r>
      <w:r>
        <w:rPr>
          <w:rFonts w:ascii="Arial" w:cs="Arial" w:eastAsia="Arial" w:hAnsi="Arial"/>
          <w:sz w:val="21"/>
          <w:szCs w:val="21"/>
          <w:color w:val="auto"/>
        </w:rPr>
        <w:t xml:space="preserve"> sets forth the name of, and the ownership interest of the Company and each Subsidiary in, each Subsidiary and identifies each Subsidiary that is a Guarantor as of the Effective Date. As of the Effective Date, the Equity Interests in each Subsidiary has been duly authorized and validly issued and are fully paid and nonassessable, and the Equity Interests in each Subsidiary are owned by the Company, directly or indirectly, free and clear of all Liens (other than Liens created under the Loan Documents and any Liens permitted by </w:t>
      </w:r>
      <w:r>
        <w:rPr>
          <w:rFonts w:ascii="Arial" w:cs="Arial" w:eastAsia="Arial" w:hAnsi="Arial"/>
          <w:sz w:val="21"/>
          <w:szCs w:val="21"/>
          <w:u w:val="single" w:color="auto"/>
          <w:color w:val="auto"/>
        </w:rPr>
        <w:t>Section 6.02</w:t>
      </w:r>
      <w:r>
        <w:rPr>
          <w:rFonts w:ascii="Arial" w:cs="Arial" w:eastAsia="Arial" w:hAnsi="Arial"/>
          <w:sz w:val="21"/>
          <w:szCs w:val="21"/>
          <w:color w:val="auto"/>
        </w:rPr>
        <w:t xml:space="preserve">). Except as set forth in </w:t>
      </w:r>
      <w:r>
        <w:rPr>
          <w:rFonts w:ascii="Arial" w:cs="Arial" w:eastAsia="Arial" w:hAnsi="Arial"/>
          <w:sz w:val="21"/>
          <w:szCs w:val="21"/>
          <w:u w:val="single" w:color="auto"/>
          <w:color w:val="auto"/>
        </w:rPr>
        <w:t>Schedule 3.14</w:t>
      </w:r>
      <w:r>
        <w:rPr>
          <w:rFonts w:ascii="Arial" w:cs="Arial" w:eastAsia="Arial" w:hAnsi="Arial"/>
          <w:sz w:val="21"/>
          <w:szCs w:val="21"/>
          <w:color w:val="auto"/>
        </w:rPr>
        <w:t>, as of the Effective Date, there is no existing option, warrant, call, right, commitment or other agreement to which the Company or any Subsidiary is a party requiring, and there are no Equity Interests in any Subsidiary outstanding that upon exercise, conversion or exchange would require, the issuance by any Subsidiary of any additional Equity Interests or other securities exercisable for, convertible into, exchangeable for or evidencing the right to subscribe for or purchase any Equity Interests in any Subsidiary.</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Use of Proceeds</w:t>
      </w:r>
      <w:r>
        <w:rPr>
          <w:rFonts w:ascii="Arial" w:cs="Arial" w:eastAsia="Arial" w:hAnsi="Arial"/>
          <w:sz w:val="22"/>
          <w:szCs w:val="22"/>
          <w:color w:val="auto"/>
        </w:rPr>
        <w:t xml:space="preserve">. The proceeds of the Loans and of Letters of Credit will be used by the Borrowers and the Restricted Subsidiaries in accordance with </w:t>
      </w:r>
      <w:r>
        <w:rPr>
          <w:rFonts w:ascii="Arial" w:cs="Arial" w:eastAsia="Arial" w:hAnsi="Arial"/>
          <w:sz w:val="22"/>
          <w:szCs w:val="22"/>
          <w:u w:val="single" w:color="auto"/>
          <w:color w:val="auto"/>
        </w:rPr>
        <w:t>Section 5.11</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Labor Matters</w:t>
      </w:r>
      <w:r>
        <w:rPr>
          <w:rFonts w:ascii="Arial" w:cs="Arial" w:eastAsia="Arial" w:hAnsi="Arial"/>
          <w:sz w:val="22"/>
          <w:szCs w:val="22"/>
          <w:color w:val="auto"/>
        </w:rPr>
        <w:t>. Except as could not, individually or in the aggregate, reasonably be expected to result in a Material Adverse Effect, (i) there are no strikes, lockouts or slowdowns or any other material labor disputes against the Borrowers or any Restricted Subsidiary pending or, to the Knowledge of the Borrowers or any Restricted Subsidiary, threatened and (ii) there are no unfair labor practice complaints pending against the Borrowers or any Restricted Subsidiary or, to the Knowledge of the Borrowers or any Restricted Subsidiary, threatened against any of them before the National Labor Relations Board or other Governmental Authority.</w:t>
      </w:r>
    </w:p>
    <w:p>
      <w:pPr>
        <w:spacing w:after="0" w:line="19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Solvency</w:t>
      </w:r>
      <w:r>
        <w:rPr>
          <w:rFonts w:ascii="Arial" w:cs="Arial" w:eastAsia="Arial" w:hAnsi="Arial"/>
          <w:sz w:val="22"/>
          <w:szCs w:val="22"/>
          <w:color w:val="auto"/>
        </w:rPr>
        <w:t>. Immediately after the consummation of the Transactions and immediately after the making of each Loan or the issuance, amendment, renewal or extension of any Letter of Credit, the (a) fair value of the assets of the Borrowers and the Restricted Subsidiaries, taken as a whole, at a fair valuation, will exceed their debts and liabilities, subordinated, contingent or otherwise, (b) present fair saleable value of the property of the Borrowers and the Restricted Subsidiaries, taken as a whole, will be greater than the amount that will be required to pay the probable liability of their debts and other liabilities,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28" w:right="339" w:bottom="1440" w:gutter="0" w:footer="0" w:header="0"/>
        </w:sectPr>
      </w:pPr>
    </w:p>
    <w:bookmarkStart w:id="180" w:name="page181"/>
    <w:bookmarkEnd w:id="180"/>
    <w:p>
      <w:pPr>
        <w:jc w:val="both"/>
        <w:spacing w:after="0" w:line="292" w:lineRule="auto"/>
        <w:rPr>
          <w:sz w:val="20"/>
          <w:szCs w:val="20"/>
          <w:color w:val="auto"/>
        </w:rPr>
      </w:pPr>
      <w:r>
        <w:rPr>
          <w:rFonts w:ascii="Arial" w:cs="Arial" w:eastAsia="Arial" w:hAnsi="Arial"/>
          <w:sz w:val="19"/>
          <w:szCs w:val="19"/>
          <w:color w:val="auto"/>
        </w:rPr>
        <w:t>contingent or otherwise, as such debts and other liabilities become absolute and matured, (c) the Borrowers and the Restricted Subsidiaries, taken as a whole, will be able to pay their debts and liabilities, subordinated, contingent or otherwise, as such debts and liabilities become absolute and matured and (d) the Borrowers and the Restricted Subsidiaries, taken as a whole, will not have unreasonably small capital with which to conduct the business in which they are engaged as such business is now conducted and is proposed to be conducted following the Effective Date. For purposes of this Section,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51"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Collateral Matters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8" w:lineRule="auto"/>
        <w:tabs>
          <w:tab w:leader="none" w:pos="114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The Security Documents will create in favor of the Collateral Agent, for the benefit of the Secured Parties, a legal, valid and enforceable security interest in the Collateral (as defined therein) and (i) when such Collateral constituting certificated securities (as defined in the Uniform Commercial Code) is delivered to the Collateral Agent, together with instruments of transfer duly endorsed in blank, the security interest created under the Security Documents will constitute a fully perfected security interest in all right, title and interest of the pledgors thereunder in such Collateral, prior and superior in right to any other Person, and (ii) when financing statements (or their equivalent) in appropriate form are filed in the applicable filing offices, the security interest created under the Security Documents will constitute a fully perfected security interest in all right, title and interest of the Loan Parties in the remaining Collateral (as defined therein) (subject to subsections (b) and (c) of this </w:t>
      </w:r>
      <w:r>
        <w:rPr>
          <w:rFonts w:ascii="Arial" w:cs="Arial" w:eastAsia="Arial" w:hAnsi="Arial"/>
          <w:sz w:val="19"/>
          <w:szCs w:val="19"/>
          <w:u w:val="single" w:color="auto"/>
          <w:color w:val="auto"/>
        </w:rPr>
        <w:t>Section 3.18</w:t>
      </w:r>
      <w:r>
        <w:rPr>
          <w:rFonts w:ascii="Arial" w:cs="Arial" w:eastAsia="Arial" w:hAnsi="Arial"/>
          <w:sz w:val="19"/>
          <w:szCs w:val="19"/>
          <w:color w:val="auto"/>
        </w:rPr>
        <w:t xml:space="preserve">) to the extent perfection can be obtained by filing Uniform Commercial Code financing statements (or their equivalent), prior and superior to the Lien of any other Person, except for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firstLine="656"/>
        <w:spacing w:after="0" w:line="260" w:lineRule="auto"/>
        <w:tabs>
          <w:tab w:leader="none" w:pos="122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Each Mortgage and Vessel Deed of Covenants, upon execution and delivery thereof by the parties thereto, will create in favor of the Collateral Agent, for the benefit of the Secured Parties, a legal, valid and enforceable security interest in all the applicable mortgagor’s right, title and interest in and to the Collateral Vessels and Mortgaged Properties, as applicable, subject thereto and the proceeds thereof, and when the Mortgages have been filed or (as applicable) registered in the jurisdictions specified therein, the Mortgages will constitute a fully perfected security interest in all right, title and interest of the mortgagors in the Collateral Vessels and Mortgaged Properties, as applicable, and the proceeds thereof, prior and superior in right to any other Person, but subject to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firstLine="656"/>
        <w:spacing w:after="0" w:line="294" w:lineRule="auto"/>
        <w:tabs>
          <w:tab w:leader="none" w:pos="117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Upon the recordation of the New York-Law Security Agreement (or a short-form security agreement in form and substance reasonably satisfactory to the Borrowers and the Administrative Agent) with the United States Patent and Trademark Office or the United States Copyright Office, as applicable, and the filing of the financing statements referred to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the security interest created under the New York-Law Security Agreement will constitute a fully perfected security interest in all right, title and interest of the Loan Parties in the Intellectual Property (as defined in the New York-Law Security Agreement) in which a security interest may be perfected by filing in the United States of America,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28" w:right="339" w:bottom="1440" w:gutter="0" w:footer="0" w:header="0"/>
        </w:sectPr>
      </w:pPr>
    </w:p>
    <w:bookmarkStart w:id="181" w:name="page182"/>
    <w:bookmarkEnd w:id="181"/>
    <w:p>
      <w:pPr>
        <w:jc w:val="both"/>
        <w:spacing w:after="0" w:line="312" w:lineRule="auto"/>
        <w:rPr>
          <w:sz w:val="20"/>
          <w:szCs w:val="20"/>
          <w:color w:val="auto"/>
        </w:rPr>
      </w:pPr>
      <w:r>
        <w:rPr>
          <w:rFonts w:ascii="Arial" w:cs="Arial" w:eastAsia="Arial" w:hAnsi="Arial"/>
          <w:sz w:val="19"/>
          <w:szCs w:val="19"/>
          <w:color w:val="auto"/>
        </w:rPr>
        <w:t xml:space="preserve">case prior and superior in right to any other Person, but subject to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(it being understood and agreed that subsequent recordings in the United States Patent and Trademark Office or the United States Copyright Office may be necessary to perfect a security interest in such Intellectual Property acquired by the Loan Parties).</w:t>
      </w:r>
    </w:p>
    <w:p>
      <w:pPr>
        <w:spacing w:after="0" w:line="133" w:lineRule="exact"/>
        <w:rPr>
          <w:sz w:val="20"/>
          <w:szCs w:val="20"/>
          <w:color w:val="auto"/>
        </w:rPr>
      </w:pPr>
    </w:p>
    <w:p>
      <w:pPr>
        <w:jc w:val="both"/>
        <w:ind w:firstLine="656"/>
        <w:spacing w:after="0" w:line="289" w:lineRule="auto"/>
        <w:tabs>
          <w:tab w:leader="none" w:pos="112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Each Security Document delivered after the Effective Date will, upon execution and delivery thereof, be effective to create in favor of the Collateral Agent, for the benefit of the Secured Parties, legal, valid and enforceable Liens on, and security interests in, all of the Loan Parties’ right, title and interest in and to the Collateral thereunder, and (i) when all appropriate filings or recordings are made in the appropriate offices as may be required under applicable law and all applicable requirements set out in paragraph (d) of the definition of “Collateral and Guarantee Requirement” have been satisfied and (ii) upon the taking of possession or control by the Collateral Agent of such Collateral with respect to which a security interest may be perfected only by possession or control (which possession or control shall be given to the Administrative Agent to the extent required by any Security Document), such Security Document will constitute fully perfected Liens on, and security interests in, all right, title and interest of the Loan Parties in such Collateral, in each case subject to no Liens other than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57"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u w:val="single" w:color="auto"/>
          <w:color w:val="auto"/>
        </w:rPr>
        <w:t>EEA Financial Institutions</w:t>
      </w:r>
      <w:r>
        <w:rPr>
          <w:rFonts w:ascii="Arial" w:cs="Arial" w:eastAsia="Arial" w:hAnsi="Arial"/>
          <w:sz w:val="19"/>
          <w:szCs w:val="19"/>
          <w:color w:val="auto"/>
        </w:rPr>
        <w:t>. No Loan Party is an EEA Financial Institution.</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3.20.</w:t>
      </w:r>
      <w:r>
        <w:rPr>
          <w:sz w:val="20"/>
          <w:szCs w:val="20"/>
          <w:color w:val="auto"/>
        </w:rPr>
        <w:tab/>
      </w:r>
      <w:r>
        <w:rPr>
          <w:rFonts w:ascii="Arial" w:cs="Arial" w:eastAsia="Arial" w:hAnsi="Arial"/>
          <w:sz w:val="19"/>
          <w:szCs w:val="19"/>
          <w:u w:val="single" w:color="auto"/>
          <w:color w:val="auto"/>
        </w:rPr>
        <w:t>No Default or Event of Default</w:t>
      </w:r>
      <w:r>
        <w:rPr>
          <w:rFonts w:ascii="Arial" w:cs="Arial" w:eastAsia="Arial" w:hAnsi="Arial"/>
          <w:sz w:val="19"/>
          <w:szCs w:val="19"/>
          <w:color w:val="auto"/>
        </w:rPr>
        <w:t>. No Default or Event of Default has occurred and is continuing.</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3.21. </w:t>
      </w:r>
      <w:r>
        <w:rPr>
          <w:rFonts w:ascii="Arial" w:cs="Arial" w:eastAsia="Arial" w:hAnsi="Arial"/>
          <w:sz w:val="22"/>
          <w:szCs w:val="22"/>
          <w:u w:val="single" w:color="auto"/>
          <w:color w:val="auto"/>
        </w:rPr>
        <w:t>Insurance</w:t>
      </w:r>
      <w:r>
        <w:rPr>
          <w:rFonts w:ascii="Arial" w:cs="Arial" w:eastAsia="Arial" w:hAnsi="Arial"/>
          <w:sz w:val="22"/>
          <w:szCs w:val="22"/>
          <w:color w:val="auto"/>
        </w:rPr>
        <w:t>. Each Borrower and each Restricted Subsidiary carries insurance (which may be carried by on a consolidated basis) with reputable insurers in respect of such of their respective Properties, in such amounts and against such risks as is customarily maintained by other Persons of similar size engaged in similar businesses or, self-insure to the extent that is customary for Persons of similar size engaged in similar businesses.</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3.22. </w:t>
      </w:r>
      <w:r>
        <w:rPr>
          <w:rFonts w:ascii="Arial" w:cs="Arial" w:eastAsia="Arial" w:hAnsi="Arial"/>
          <w:sz w:val="19"/>
          <w:szCs w:val="19"/>
          <w:u w:val="single" w:color="auto"/>
          <w:color w:val="auto"/>
        </w:rPr>
        <w:t>Senior Indebtedness</w:t>
      </w:r>
      <w:r>
        <w:rPr>
          <w:rFonts w:ascii="Arial" w:cs="Arial" w:eastAsia="Arial" w:hAnsi="Arial"/>
          <w:sz w:val="19"/>
          <w:szCs w:val="19"/>
          <w:color w:val="auto"/>
        </w:rPr>
        <w:t>. The Obligations shall constitute “Senior Indebtedness”, “Designated Senior Indebtedness” or any similar designation under and as defined in any agreement, to the extent such designation is referenced therein or required thereby, governing any unsecured, senior subordinated or subordinated Indebtedness and the subordination provisions set forth in each such agreement, if any, are legally valid and enforceable against the parties thereto subject to applicable bankruptcy, insolvency, reorganization, moratorium or other laws affecting creditors’ rights generally and subject to general principles of equity, regardless of whether considered in a proceeding in equity or at law.</w:t>
      </w:r>
    </w:p>
    <w:p>
      <w:pPr>
        <w:spacing w:after="0" w:line="1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3.23. </w:t>
      </w:r>
      <w:r>
        <w:rPr>
          <w:rFonts w:ascii="Arial" w:cs="Arial" w:eastAsia="Arial" w:hAnsi="Arial"/>
          <w:sz w:val="22"/>
          <w:szCs w:val="22"/>
          <w:u w:val="single" w:color="auto"/>
          <w:color w:val="auto"/>
        </w:rPr>
        <w:t>Dutch Works Council</w:t>
      </w:r>
      <w:r>
        <w:rPr>
          <w:rFonts w:ascii="Arial" w:cs="Arial" w:eastAsia="Arial" w:hAnsi="Arial"/>
          <w:sz w:val="22"/>
          <w:szCs w:val="22"/>
          <w:color w:val="auto"/>
        </w:rPr>
        <w:t>. The Dutch Loan Parties (save for FMC Separation Systems B.V.) do not have, nor are required to establish, a works council (</w:t>
      </w:r>
      <w:r>
        <w:rPr>
          <w:rFonts w:ascii="Arial" w:cs="Arial" w:eastAsia="Arial" w:hAnsi="Arial"/>
          <w:sz w:val="22"/>
          <w:szCs w:val="22"/>
          <w:i w:val="1"/>
          <w:iCs w:val="1"/>
          <w:color w:val="auto"/>
        </w:rPr>
        <w:t>ondernemingsraad</w:t>
      </w:r>
      <w:r>
        <w:rPr>
          <w:rFonts w:ascii="Arial" w:cs="Arial" w:eastAsia="Arial" w:hAnsi="Arial"/>
          <w:sz w:val="22"/>
          <w:szCs w:val="22"/>
          <w:color w:val="auto"/>
        </w:rPr>
        <w:t>) within the meaning of the Dutch Works Councils Act (</w:t>
      </w:r>
      <w:r>
        <w:rPr>
          <w:rFonts w:ascii="Arial" w:cs="Arial" w:eastAsia="Arial" w:hAnsi="Arial"/>
          <w:sz w:val="22"/>
          <w:szCs w:val="22"/>
          <w:i w:val="1"/>
          <w:iCs w:val="1"/>
          <w:color w:val="auto"/>
        </w:rPr>
        <w:t>Wet op</w:t>
      </w:r>
      <w:r>
        <w:rPr>
          <w:rFonts w:ascii="Arial" w:cs="Arial" w:eastAsia="Arial" w:hAnsi="Arial"/>
          <w:sz w:val="22"/>
          <w:szCs w:val="22"/>
          <w:color w:val="auto"/>
        </w:rPr>
        <w:t xml:space="preserve"> </w:t>
      </w:r>
      <w:r>
        <w:rPr>
          <w:rFonts w:ascii="Arial" w:cs="Arial" w:eastAsia="Arial" w:hAnsi="Arial"/>
          <w:sz w:val="22"/>
          <w:szCs w:val="22"/>
          <w:i w:val="1"/>
          <w:iCs w:val="1"/>
          <w:color w:val="auto"/>
        </w:rPr>
        <w:t>de ondernemingsraden</w:t>
      </w:r>
      <w:r>
        <w:rPr>
          <w:rFonts w:ascii="Arial" w:cs="Arial" w:eastAsia="Arial" w:hAnsi="Arial"/>
          <w:sz w:val="22"/>
          <w:szCs w:val="22"/>
          <w:color w:val="auto"/>
        </w:rPr>
        <w:t>) nor has it received any request from their respective employees to install a work council. The works</w:t>
      </w:r>
      <w:r>
        <w:rPr>
          <w:rFonts w:ascii="Arial" w:cs="Arial" w:eastAsia="Arial" w:hAnsi="Arial"/>
          <w:sz w:val="22"/>
          <w:szCs w:val="22"/>
          <w:i w:val="1"/>
          <w:iCs w:val="1"/>
          <w:color w:val="auto"/>
        </w:rPr>
        <w:t xml:space="preserve"> </w:t>
      </w:r>
      <w:r>
        <w:rPr>
          <w:rFonts w:ascii="Arial" w:cs="Arial" w:eastAsia="Arial" w:hAnsi="Arial"/>
          <w:sz w:val="22"/>
          <w:szCs w:val="22"/>
          <w:color w:val="auto"/>
        </w:rPr>
        <w:t>council of FMC Separation Systems B.V. has rendered a neutral advice without conditions with respect to FMC Separation Systems B.V.’s entry into and performance of the Loan Documents and has acknowledged and agreed to waive its right to start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28" w:right="339" w:bottom="1440" w:gutter="0" w:footer="0" w:header="0"/>
        </w:sectPr>
      </w:pPr>
    </w:p>
    <w:bookmarkStart w:id="182" w:name="page183"/>
    <w:bookmarkEnd w:id="182"/>
    <w:p>
      <w:pPr>
        <w:jc w:val="both"/>
        <w:ind w:right="20"/>
        <w:spacing w:after="0" w:line="263" w:lineRule="auto"/>
        <w:rPr>
          <w:sz w:val="20"/>
          <w:szCs w:val="20"/>
          <w:color w:val="auto"/>
        </w:rPr>
      </w:pPr>
      <w:r>
        <w:rPr>
          <w:rFonts w:ascii="Arial" w:cs="Arial" w:eastAsia="Arial" w:hAnsi="Arial"/>
          <w:sz w:val="22"/>
          <w:szCs w:val="22"/>
          <w:color w:val="auto"/>
        </w:rPr>
        <w:t>proceedings. Consequently, the one month suspension period as referred to in article 25 subparagraph 6 of the Dutch Works Councils Act does not have to be observed.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Effective Date</w:t>
      </w:r>
      <w:r>
        <w:rPr>
          <w:rFonts w:ascii="Arial" w:cs="Arial" w:eastAsia="Arial" w:hAnsi="Arial"/>
          <w:sz w:val="22"/>
          <w:szCs w:val="22"/>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85" w:lineRule="exact"/>
        <w:rPr>
          <w:sz w:val="20"/>
          <w:szCs w:val="20"/>
          <w:color w:val="auto"/>
        </w:rPr>
      </w:pPr>
    </w:p>
    <w:p>
      <w:pPr>
        <w:jc w:val="both"/>
        <w:ind w:firstLine="656"/>
        <w:spacing w:after="0" w:line="263" w:lineRule="auto"/>
        <w:tabs>
          <w:tab w:leader="none" w:pos="1119"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The Administrative Agent (or its counsel) shall have received from each party hereto or thereto a counterpart of this Agreement and each other Loan Document (excluding, for the avoidance of doubt, the Real Property Mortgages and other Security Documents in non-U.S. jurisdictions, which shall be delivered in accordance with </w:t>
      </w:r>
      <w:r>
        <w:rPr>
          <w:rFonts w:ascii="Arial" w:cs="Arial" w:eastAsia="Arial" w:hAnsi="Arial"/>
          <w:sz w:val="21"/>
          <w:szCs w:val="21"/>
          <w:u w:val="single" w:color="auto"/>
          <w:color w:val="auto"/>
        </w:rPr>
        <w:t>Section 5.15</w:t>
      </w:r>
      <w:r>
        <w:rPr>
          <w:rFonts w:ascii="Arial" w:cs="Arial" w:eastAsia="Arial" w:hAnsi="Arial"/>
          <w:sz w:val="21"/>
          <w:szCs w:val="21"/>
          <w:color w:val="auto"/>
        </w:rPr>
        <w:t xml:space="preserve">) signed on behalf of such party (which, subject to </w:t>
      </w:r>
      <w:r>
        <w:rPr>
          <w:rFonts w:ascii="Arial" w:cs="Arial" w:eastAsia="Arial" w:hAnsi="Arial"/>
          <w:sz w:val="21"/>
          <w:szCs w:val="21"/>
          <w:u w:val="single" w:color="auto"/>
          <w:color w:val="auto"/>
        </w:rPr>
        <w:t>Section 9.06(b)</w:t>
      </w:r>
      <w:r>
        <w:rPr>
          <w:rFonts w:ascii="Arial" w:cs="Arial" w:eastAsia="Arial" w:hAnsi="Arial"/>
          <w:sz w:val="21"/>
          <w:szCs w:val="21"/>
          <w:color w:val="auto"/>
        </w:rPr>
        <w:t>, may include any Electronic Signatures transmitted by telecopy, emailed .pdf or any other electronic means that reproduces an image of an actual executed signature page).</w:t>
      </w:r>
    </w:p>
    <w:p>
      <w:pPr>
        <w:spacing w:after="0" w:line="175" w:lineRule="exact"/>
        <w:rPr>
          <w:rFonts w:ascii="Arial" w:cs="Arial" w:eastAsia="Arial" w:hAnsi="Arial"/>
          <w:sz w:val="21"/>
          <w:szCs w:val="21"/>
          <w:color w:val="auto"/>
        </w:rPr>
      </w:pPr>
    </w:p>
    <w:p>
      <w:pPr>
        <w:jc w:val="both"/>
        <w:ind w:firstLine="656"/>
        <w:spacing w:after="0" w:line="288" w:lineRule="auto"/>
        <w:tabs>
          <w:tab w:leader="none" w:pos="1157" w:val="left"/>
        </w:tabs>
        <w:numPr>
          <w:ilvl w:val="1"/>
          <w:numId w:val="126"/>
        </w:numPr>
        <w:rPr>
          <w:rFonts w:ascii="Arial" w:cs="Arial" w:eastAsia="Arial" w:hAnsi="Arial"/>
          <w:sz w:val="19"/>
          <w:szCs w:val="19"/>
          <w:color w:val="auto"/>
        </w:rPr>
      </w:pPr>
      <w:r>
        <w:rPr>
          <w:rFonts w:ascii="Arial" w:cs="Arial" w:eastAsia="Arial" w:hAnsi="Arial"/>
          <w:sz w:val="19"/>
          <w:szCs w:val="19"/>
          <w:color w:val="auto"/>
        </w:rPr>
        <w:t>The Administrative Agent shall have received a customary written opinion (addressed to the Administrative Agent and the Lenders) of each of (i) Latham &amp; Watkins LLP, special New York counsel for the Borrowers and the Restricted Subsidiaries; (ii) Simpson Thacher &amp; Bartlett LLP, special counsel in England and Wales to the Administrative Agent; (iii) Allen</w:t>
      </w:r>
    </w:p>
    <w:p>
      <w:pPr>
        <w:jc w:val="both"/>
        <w:ind w:firstLine="8"/>
        <w:spacing w:after="0" w:line="243" w:lineRule="auto"/>
        <w:tabs>
          <w:tab w:leader="none" w:pos="25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Gledhill LLP, special counsel in Singapore to the Administrative Agent; (iv) Pinheiro Neto Advogados, special counsel in Brazil for such Restricted Subsidiaries organized under the laws of Brazil; (v) De Brauw Blackstone Westbroek N.V., special counsel in the Netherlands for such Restricted Subsidiaries organized under the laws of the Netherlands; (vi) Wikborg Rein Advokatfirma AS, special counsel in Norway for the Administrative Agent; and (vii) Stinson LLP, special Kansas and Colorado counsel for such Restricted Subsidiaries organized under the laws of Kansas and Colorado, in each case (A) dated as of the Effective Date and (B) covering such matters relating to the Loan Parties (as applicable) or the Loan Documents as the Administrative Agent shall reasonably request.</w:t>
      </w:r>
    </w:p>
    <w:p>
      <w:pPr>
        <w:spacing w:after="0" w:line="200" w:lineRule="exact"/>
        <w:rPr>
          <w:rFonts w:ascii="Arial" w:cs="Arial" w:eastAsia="Arial" w:hAnsi="Arial"/>
          <w:sz w:val="22"/>
          <w:szCs w:val="22"/>
          <w:color w:val="auto"/>
        </w:rPr>
      </w:pPr>
    </w:p>
    <w:p>
      <w:pPr>
        <w:jc w:val="both"/>
        <w:ind w:firstLine="656"/>
        <w:spacing w:after="0" w:line="290" w:lineRule="auto"/>
        <w:tabs>
          <w:tab w:leader="none" w:pos="1105" w:val="left"/>
        </w:tabs>
        <w:numPr>
          <w:ilvl w:val="1"/>
          <w:numId w:val="127"/>
        </w:numPr>
        <w:rPr>
          <w:rFonts w:ascii="Arial" w:cs="Arial" w:eastAsia="Arial" w:hAnsi="Arial"/>
          <w:sz w:val="19"/>
          <w:szCs w:val="19"/>
          <w:color w:val="auto"/>
        </w:rPr>
      </w:pPr>
      <w:r>
        <w:rPr>
          <w:rFonts w:ascii="Arial" w:cs="Arial" w:eastAsia="Arial" w:hAnsi="Arial"/>
          <w:sz w:val="19"/>
          <w:szCs w:val="19"/>
          <w:color w:val="auto"/>
        </w:rPr>
        <w:t>The Administrative Agent shall have received (i) a secretary’s or director’s, as applicable, certificate from each Loan Party certifying and appending such Loan Party’s (A) incumbency (to the extent applicable in the relevant jurisdiction), (B) authorizing resolutions (or extracts of such resolutions) (including, in the case of a UK Loan Party except for the Company, resolutions of the shareholder of such UK Loan Party), (C) organizational documents, (D) governmental approvals, if any, with respect to the Loan Documents to which such Person is a party and (E) in the case of a UK Loan Party, certifying that borrowing, guaranteeing or securing, as appropriate, the Total Commitments would not cause any borrowing or guarantee, security or similar limit binding on it to be exceeded; and (ii) certificates of status or good standing (to the extent applicable) as of a recent date of each Loan Party in the jurisdiction of such Loan Party’s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28" w:right="339" w:bottom="1440" w:gutter="0" w:footer="0" w:header="0"/>
        </w:sectPr>
      </w:pPr>
    </w:p>
    <w:bookmarkStart w:id="183" w:name="page184"/>
    <w:bookmarkEnd w:id="183"/>
    <w:p>
      <w:pPr>
        <w:jc w:val="both"/>
        <w:ind w:firstLine="656"/>
        <w:spacing w:after="0" w:line="253" w:lineRule="auto"/>
        <w:tabs>
          <w:tab w:leader="none" w:pos="1185"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dated the Effective Date and signed by a Responsible Officer of the Company, confirming compliance with the conditions set forth in </w:t>
      </w:r>
      <w:r>
        <w:rPr>
          <w:rFonts w:ascii="Arial" w:cs="Arial" w:eastAsia="Arial" w:hAnsi="Arial"/>
          <w:sz w:val="22"/>
          <w:szCs w:val="22"/>
          <w:u w:val="single" w:color="auto"/>
          <w:color w:val="auto"/>
        </w:rPr>
        <w:t>paragraphs (k)</w:t>
      </w:r>
      <w:r>
        <w:rPr>
          <w:rFonts w:ascii="Arial" w:cs="Arial" w:eastAsia="Arial" w:hAnsi="Arial"/>
          <w:sz w:val="22"/>
          <w:szCs w:val="22"/>
          <w:color w:val="auto"/>
        </w:rPr>
        <w:t xml:space="preserve">, </w:t>
      </w:r>
      <w:r>
        <w:rPr>
          <w:rFonts w:ascii="Arial" w:cs="Arial" w:eastAsia="Arial" w:hAnsi="Arial"/>
          <w:sz w:val="22"/>
          <w:szCs w:val="22"/>
          <w:u w:val="single" w:color="auto"/>
          <w:color w:val="auto"/>
        </w:rPr>
        <w:t>(m)</w:t>
      </w:r>
      <w:r>
        <w:rPr>
          <w:rFonts w:ascii="Arial" w:cs="Arial" w:eastAsia="Arial" w:hAnsi="Arial"/>
          <w:sz w:val="22"/>
          <w:szCs w:val="22"/>
          <w:color w:val="auto"/>
        </w:rPr>
        <w:t xml:space="preserve">, </w:t>
      </w:r>
      <w:r>
        <w:rPr>
          <w:rFonts w:ascii="Arial" w:cs="Arial" w:eastAsia="Arial" w:hAnsi="Arial"/>
          <w:sz w:val="22"/>
          <w:szCs w:val="22"/>
          <w:u w:val="single" w:color="auto"/>
          <w:color w:val="auto"/>
        </w:rPr>
        <w:t>(n)</w:t>
      </w:r>
      <w:r>
        <w:rPr>
          <w:rFonts w:ascii="Arial" w:cs="Arial" w:eastAsia="Arial" w:hAnsi="Arial"/>
          <w:sz w:val="22"/>
          <w:szCs w:val="22"/>
          <w:color w:val="auto"/>
        </w:rPr>
        <w:t xml:space="preserve">, </w:t>
      </w:r>
      <w:r>
        <w:rPr>
          <w:rFonts w:ascii="Arial" w:cs="Arial" w:eastAsia="Arial" w:hAnsi="Arial"/>
          <w:sz w:val="22"/>
          <w:szCs w:val="22"/>
          <w:u w:val="single" w:color="auto"/>
          <w:color w:val="auto"/>
        </w:rPr>
        <w:t>(o)</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(p)</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(after giving effect to the Transactions).</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14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Administrative Agent and the Arrangers shall have received all fees and other amounts due and payable on or prior to the Effective Date, including, to the extent invoiced at least three (3) Business Days prior to the Effective Date, reimbursement or payment of all reasonable out-of-pocket expenses (including fees, charges and disbursements of counsel) required to be reimbursed or paid by any Loan Party hereunder, under any other Loan Document or under any other agreement entered into by any of the Arrangers, the Administrative Agent and the Lenders, on the one hand, and any of the Loan Parties, on the other hand.</w:t>
      </w:r>
    </w:p>
    <w:p>
      <w:pPr>
        <w:spacing w:after="0" w:line="192" w:lineRule="exact"/>
        <w:rPr>
          <w:rFonts w:ascii="Arial" w:cs="Arial" w:eastAsia="Arial" w:hAnsi="Arial"/>
          <w:sz w:val="22"/>
          <w:szCs w:val="22"/>
          <w:color w:val="auto"/>
        </w:rPr>
      </w:pPr>
    </w:p>
    <w:p>
      <w:pPr>
        <w:ind w:left="1080" w:hanging="424"/>
        <w:spacing w:after="0"/>
        <w:tabs>
          <w:tab w:leader="none" w:pos="108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The Arrangers shall have received the financial statements and certificates referred to in </w:t>
      </w:r>
      <w:r>
        <w:rPr>
          <w:rFonts w:ascii="Arial" w:cs="Arial" w:eastAsia="Arial" w:hAnsi="Arial"/>
          <w:sz w:val="21"/>
          <w:szCs w:val="21"/>
          <w:u w:val="single" w:color="auto"/>
          <w:color w:val="auto"/>
        </w:rPr>
        <w:t>Section 3.04(a)</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jc w:val="both"/>
        <w:ind w:firstLine="656"/>
        <w:spacing w:after="0" w:line="259" w:lineRule="auto"/>
        <w:tabs>
          <w:tab w:leader="none" w:pos="1207"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 The Administrative Agent shall have received, at least five (5) Business Days prior to the Effective Date, all documentation and other information regarding the Loan Parties requested in connection with applicable “know your customer” and anti-money laundering rules and regulations, including the USA PATRIOT Act, to the extent requested in writing of the Borrower at least ten (10) business days prior to the Effective Date and (ii) to the extent a Borrower qualifies as a “legal entity customer” under the Beneficial Ownership Regulation, at least five (5) Business Days prior to the Effective Date, any Lender that has requested, in a written notice to the Company at least ten (10) Business Days prior to the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79" w:lineRule="exact"/>
        <w:rPr>
          <w:rFonts w:ascii="Arial" w:cs="Arial" w:eastAsia="Arial" w:hAnsi="Arial"/>
          <w:sz w:val="21"/>
          <w:szCs w:val="21"/>
          <w:color w:val="auto"/>
        </w:rPr>
      </w:pPr>
    </w:p>
    <w:p>
      <w:pPr>
        <w:jc w:val="both"/>
        <w:ind w:firstLine="656"/>
        <w:spacing w:after="0" w:line="297" w:lineRule="auto"/>
        <w:tabs>
          <w:tab w:leader="none" w:pos="112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Collateral and Guarantee Requirement shall have been satisfied to the extent applicable, and the Administrative Agent, on behalf of the Secured Parties, shall have a valid and perfected security interest in the Collateral of the type and priority described in each Security Document, except as otherwise set forth in the Collateral and Guarantee Requirement or </w:t>
      </w:r>
      <w:r>
        <w:rPr>
          <w:rFonts w:ascii="Arial" w:cs="Arial" w:eastAsia="Arial" w:hAnsi="Arial"/>
          <w:sz w:val="19"/>
          <w:szCs w:val="19"/>
          <w:u w:val="single" w:color="auto"/>
          <w:color w:val="auto"/>
        </w:rPr>
        <w:t>Section 5.15</w:t>
      </w:r>
      <w:r>
        <w:rPr>
          <w:rFonts w:ascii="Arial" w:cs="Arial" w:eastAsia="Arial" w:hAnsi="Arial"/>
          <w:sz w:val="19"/>
          <w:szCs w:val="19"/>
          <w:color w:val="auto"/>
        </w:rPr>
        <w:t xml:space="preserve"> and, in each case, subject to the Collateral and Guarantee Principles. The Administrative Agent shall have received a completed Perfection Certificate dated the Effective Date and signed by a Responsible Officer of the Company.</w:t>
      </w:r>
    </w:p>
    <w:p>
      <w:pPr>
        <w:spacing w:after="0" w:line="146" w:lineRule="exact"/>
        <w:rPr>
          <w:rFonts w:ascii="Arial" w:cs="Arial" w:eastAsia="Arial" w:hAnsi="Arial"/>
          <w:sz w:val="19"/>
          <w:szCs w:val="19"/>
          <w:color w:val="auto"/>
        </w:rPr>
      </w:pPr>
    </w:p>
    <w:p>
      <w:pPr>
        <w:ind w:firstLine="656"/>
        <w:spacing w:after="0" w:line="263" w:lineRule="auto"/>
        <w:tabs>
          <w:tab w:leader="none" w:pos="121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5.15</w:t>
      </w:r>
      <w:r>
        <w:rPr>
          <w:rFonts w:ascii="Arial" w:cs="Arial" w:eastAsia="Arial" w:hAnsi="Arial"/>
          <w:sz w:val="22"/>
          <w:szCs w:val="22"/>
          <w:color w:val="auto"/>
        </w:rPr>
        <w:t xml:space="preserve">, the Administrative Agent shall have received the certificates of insurance and related endorsements with respect to the insurance required by </w:t>
      </w:r>
      <w:r>
        <w:rPr>
          <w:rFonts w:ascii="Arial" w:cs="Arial" w:eastAsia="Arial" w:hAnsi="Arial"/>
          <w:sz w:val="22"/>
          <w:szCs w:val="22"/>
          <w:u w:val="single" w:color="auto"/>
          <w:color w:val="auto"/>
        </w:rPr>
        <w:t>Section 5.07</w:t>
      </w:r>
      <w:r>
        <w:rPr>
          <w:rFonts w:ascii="Arial" w:cs="Arial" w:eastAsia="Arial" w:hAnsi="Arial"/>
          <w:sz w:val="22"/>
          <w:szCs w:val="22"/>
          <w:color w:val="auto"/>
        </w:rPr>
        <w:t xml:space="preserve"> and the Security Documents.</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08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certificate from a Financial Officer of the Company, substantially in the form of </w:t>
      </w:r>
      <w:r>
        <w:rPr>
          <w:rFonts w:ascii="Arial" w:cs="Arial" w:eastAsia="Arial" w:hAnsi="Arial"/>
          <w:sz w:val="19"/>
          <w:szCs w:val="19"/>
          <w:u w:val="single" w:color="auto"/>
          <w:color w:val="auto"/>
        </w:rPr>
        <w:t>Exhibit K</w:t>
      </w:r>
      <w:r>
        <w:rPr>
          <w:rFonts w:ascii="Arial" w:cs="Arial" w:eastAsia="Arial" w:hAnsi="Arial"/>
          <w:sz w:val="19"/>
          <w:szCs w:val="19"/>
          <w:color w:val="auto"/>
        </w:rPr>
        <w:t>, certifying as to the solvency of the Borrowers and their Restricted Subsidiaries as of the Effective Date on a consolidated basis after giving effect to the Transactions and the other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28" w:right="339" w:bottom="1440" w:gutter="0" w:footer="0" w:header="0"/>
        </w:sectPr>
      </w:pPr>
    </w:p>
    <w:bookmarkStart w:id="184" w:name="page185"/>
    <w:bookmarkEnd w:id="184"/>
    <w:p>
      <w:pPr>
        <w:jc w:val="both"/>
        <w:ind w:firstLine="656"/>
        <w:spacing w:after="0" w:line="253" w:lineRule="auto"/>
        <w:tabs>
          <w:tab w:leader="none" w:pos="119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Immediately after giving effect to the Transactions on the Effective Date and the other transactions contemplated hereby, the aggregate amount of the sum of (i) the unused Commitments and (ii) unrestricted cash on the balance sheet of the Loan Parties shall not be less than $1,000,000,000.</w:t>
      </w:r>
    </w:p>
    <w:p>
      <w:pPr>
        <w:spacing w:after="0" w:line="185" w:lineRule="exact"/>
        <w:rPr>
          <w:rFonts w:ascii="Arial" w:cs="Arial" w:eastAsia="Arial" w:hAnsi="Arial"/>
          <w:sz w:val="22"/>
          <w:szCs w:val="22"/>
          <w:color w:val="auto"/>
        </w:rPr>
      </w:pPr>
    </w:p>
    <w:p>
      <w:pPr>
        <w:ind w:right="20" w:firstLine="656"/>
        <w:spacing w:after="0" w:line="263" w:lineRule="auto"/>
        <w:tabs>
          <w:tab w:leader="none" w:pos="1194"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Administrative Agent shall have received evidence satisfactory to it of the termination or discharge of the Effective Date Refinanced Debt prior to or substantially concurrently with the Effective Date.</w:t>
      </w:r>
    </w:p>
    <w:p>
      <w:pPr>
        <w:spacing w:after="0" w:line="174" w:lineRule="exact"/>
        <w:rPr>
          <w:rFonts w:ascii="Arial" w:cs="Arial" w:eastAsia="Arial" w:hAnsi="Arial"/>
          <w:sz w:val="22"/>
          <w:szCs w:val="22"/>
          <w:color w:val="auto"/>
        </w:rPr>
      </w:pPr>
    </w:p>
    <w:p>
      <w:pPr>
        <w:jc w:val="both"/>
        <w:ind w:firstLine="656"/>
        <w:spacing w:after="0" w:line="283" w:lineRule="auto"/>
        <w:tabs>
          <w:tab w:leader="none" w:pos="1378" w:val="left"/>
        </w:tabs>
        <w:numPr>
          <w:ilvl w:val="1"/>
          <w:numId w:val="129"/>
        </w:numPr>
        <w:rPr>
          <w:rFonts w:ascii="Arial" w:cs="Arial" w:eastAsia="Arial" w:hAnsi="Arial"/>
          <w:sz w:val="19"/>
          <w:szCs w:val="19"/>
          <w:color w:val="auto"/>
        </w:rPr>
      </w:pPr>
      <w:r>
        <w:rPr>
          <w:rFonts w:ascii="Arial" w:cs="Arial" w:eastAsia="Arial" w:hAnsi="Arial"/>
          <w:sz w:val="19"/>
          <w:szCs w:val="19"/>
          <w:color w:val="auto"/>
        </w:rPr>
        <w:t>Since December 31, 2019, there shall not have occurred any fact, event, change, condition, occurrence or circumstance (collectively, “</w:t>
      </w:r>
      <w:r>
        <w:rPr>
          <w:rFonts w:ascii="Arial" w:cs="Arial" w:eastAsia="Arial" w:hAnsi="Arial"/>
          <w:sz w:val="19"/>
          <w:szCs w:val="19"/>
          <w:u w:val="single" w:color="auto"/>
          <w:color w:val="auto"/>
        </w:rPr>
        <w:t>Effects</w:t>
      </w:r>
      <w:r>
        <w:rPr>
          <w:rFonts w:ascii="Arial" w:cs="Arial" w:eastAsia="Arial" w:hAnsi="Arial"/>
          <w:sz w:val="19"/>
          <w:szCs w:val="19"/>
          <w:color w:val="auto"/>
        </w:rPr>
        <w:t>”) that, individually or in the aggregate, has, or would reasonably be expected to have a material adverse effect on the Company and its Subsidiaries, or results of operation of the Company and its Subsidiaries, taken as a whole, excluding any Effect resulting from any of the following (unless, other than with respect to clause (i) below, such Effects disproportionately, materially and adversely impact the Company and its Subsidiaries relative to others similarly situated in the Company’s industry): (i) entering into the Transactions or the announcement of the Transactions, (ii) any change in interest rates or any change in conditions affecting the economy generally, (iii) any change in financial, banking, credit, commodities, hedging, capital or securities markets (including any disruption thereof and any decline in the price of any security or market index), (iv) any change in geopolitical conditions, acts of terrorism, acts of war or the escalation of hostilities, (v) disease outbreaks or pandemics (including the coronavirus (COVID-19)), (vi) acts or failures to act of government, court, regulatory or administrative agency, commission or authority or other governmental instrumentality, federal, state or local, domestic, foreign or multinational, including any contractor acting on behalf of any such agency, commission, authority or governmental instrumentality,</w:t>
      </w:r>
    </w:p>
    <w:p>
      <w:pPr>
        <w:spacing w:after="0" w:line="4" w:lineRule="exact"/>
        <w:rPr>
          <w:rFonts w:ascii="Arial" w:cs="Arial" w:eastAsia="Arial" w:hAnsi="Arial"/>
          <w:sz w:val="19"/>
          <w:szCs w:val="19"/>
          <w:color w:val="auto"/>
        </w:rPr>
      </w:pPr>
    </w:p>
    <w:p>
      <w:pPr>
        <w:jc w:val="both"/>
        <w:ind w:firstLine="8"/>
        <w:spacing w:after="0" w:line="292" w:lineRule="auto"/>
        <w:tabs>
          <w:tab w:leader="none" w:pos="43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matters that are cured or no longer exist as of the Effective Date, (viii) any change in applicable laws (statutory, common or otherwise), constitutions, treaties, conventions, ordinances, codes, rules, regulations, orders, injunctions, judgments, decisions, decrees, rulings, assessments, orders, policies or other similar requirements, all to the extent enacted, adopted, promulgated or applied by a Governmental Authority and having a legally binding effect and any interpretations thereof and (ix) any event, change or circumstance generally affecting the industry in which the Company and its Subsidiaries operate, as a whole.</w:t>
      </w:r>
    </w:p>
    <w:p>
      <w:pPr>
        <w:spacing w:after="0" w:line="151" w:lineRule="exact"/>
        <w:rPr>
          <w:rFonts w:ascii="Arial" w:cs="Arial" w:eastAsia="Arial" w:hAnsi="Arial"/>
          <w:sz w:val="19"/>
          <w:szCs w:val="19"/>
          <w:color w:val="auto"/>
        </w:rPr>
      </w:pPr>
    </w:p>
    <w:p>
      <w:pPr>
        <w:jc w:val="both"/>
        <w:ind w:firstLine="656"/>
        <w:spacing w:after="0" w:line="248" w:lineRule="auto"/>
        <w:tabs>
          <w:tab w:leader="none" w:pos="1239"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All governmental and third party approvals and all equity holder and board of directors (or comparable entity management body) authorizations in connection with the Transactions shall have been obtained and be in full force and effect, except to the extent that failure of the same could not reasonably be expected to have, individually or in the aggregate a material adverse effect on the business, assets, property or condition (financial or otherwise) of the Company and its Subsidiaries, taken as a whole after giving effect to the Spinoff.</w:t>
      </w:r>
    </w:p>
    <w:p>
      <w:pPr>
        <w:spacing w:after="0" w:line="191" w:lineRule="exact"/>
        <w:rPr>
          <w:rFonts w:ascii="Arial" w:cs="Arial" w:eastAsia="Arial" w:hAnsi="Arial"/>
          <w:sz w:val="22"/>
          <w:szCs w:val="22"/>
          <w:color w:val="auto"/>
        </w:rPr>
      </w:pPr>
    </w:p>
    <w:p>
      <w:pPr>
        <w:jc w:val="both"/>
        <w:ind w:firstLine="656"/>
        <w:spacing w:after="0" w:line="253" w:lineRule="auto"/>
        <w:tabs>
          <w:tab w:leader="none" w:pos="131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Specified Representations shall be accurate in all material respects (and in all respects if qualified by materiality) on the Effective Date, and after giving effect to the Transactions on the Effective Date, no Default or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28" w:right="339" w:bottom="1440" w:gutter="0" w:footer="0" w:header="0"/>
        </w:sectPr>
      </w:pPr>
    </w:p>
    <w:bookmarkStart w:id="185" w:name="page186"/>
    <w:bookmarkEnd w:id="185"/>
    <w:p>
      <w:pPr>
        <w:ind w:left="1120" w:hanging="464"/>
        <w:spacing w:after="0"/>
        <w:tabs>
          <w:tab w:leader="none" w:pos="11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Borrowers shall be in compliance with the Financial Covenants on a Pro Forma Basis.</w:t>
      </w:r>
    </w:p>
    <w:p>
      <w:pPr>
        <w:spacing w:after="0" w:line="219" w:lineRule="exact"/>
        <w:rPr>
          <w:rFonts w:ascii="Arial" w:cs="Arial" w:eastAsia="Arial" w:hAnsi="Arial"/>
          <w:sz w:val="22"/>
          <w:szCs w:val="22"/>
          <w:color w:val="auto"/>
        </w:rPr>
      </w:pPr>
    </w:p>
    <w:p>
      <w:pPr>
        <w:jc w:val="both"/>
        <w:ind w:firstLine="656"/>
        <w:spacing w:after="0" w:line="292" w:lineRule="auto"/>
        <w:tabs>
          <w:tab w:leader="none" w:pos="114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 The Spinoff shall have been consummated substantially concurrently with the Effective Date in accordance with the terms of the Spin Documents, and (ii) there shall not have been any modifications, amendments, consents, waivers or filings with respect to any Spin Document as are material and adverse to the Lenders (it being understood that (A) any additions to or deletions from the “TFMC Assets” or the “TFMC Liabilities” reflected in the Distribution Agreement shall be deemed material and adverse to the Initial Lenders unless the aggregate diminution in value, if any, resulting from or attributable to such changes is less than $50.0 million and (B) any change in the purchase price under the Share Purchase Agreement (or any amendment to the Share Purchase Agreement related thereto) shall not be deemed to be material and adverse to the interests of the Lenders).</w:t>
      </w:r>
    </w:p>
    <w:p>
      <w:pPr>
        <w:spacing w:after="0" w:line="150" w:lineRule="exact"/>
        <w:rPr>
          <w:rFonts w:ascii="Arial" w:cs="Arial" w:eastAsia="Arial" w:hAnsi="Arial"/>
          <w:sz w:val="19"/>
          <w:szCs w:val="19"/>
          <w:color w:val="auto"/>
        </w:rPr>
      </w:pPr>
    </w:p>
    <w:p>
      <w:pPr>
        <w:jc w:val="both"/>
        <w:ind w:firstLine="656"/>
        <w:spacing w:after="0" w:line="261" w:lineRule="auto"/>
        <w:tabs>
          <w:tab w:leader="none" w:pos="1116"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Administrative Agent shall have received, either (i) a works council advice (</w:t>
      </w:r>
      <w:r>
        <w:rPr>
          <w:rFonts w:ascii="Arial" w:cs="Arial" w:eastAsia="Arial" w:hAnsi="Arial"/>
          <w:sz w:val="21"/>
          <w:szCs w:val="21"/>
          <w:i w:val="1"/>
          <w:iCs w:val="1"/>
          <w:color w:val="auto"/>
        </w:rPr>
        <w:t>advies</w:t>
      </w:r>
      <w:r>
        <w:rPr>
          <w:rFonts w:ascii="Arial" w:cs="Arial" w:eastAsia="Arial" w:hAnsi="Arial"/>
          <w:sz w:val="21"/>
          <w:szCs w:val="21"/>
          <w:color w:val="auto"/>
        </w:rPr>
        <w:t>) and the related request for advice in respect of, to the extent required, the transactions contemplated by the Loan Documents, according to which the Dutch Loan Party can pursue with the transactions contemplated by the Loan Documents or (ii) a confirmation by the management board of the relevant Dutch Loan Party and that no works council (</w:t>
      </w:r>
      <w:r>
        <w:rPr>
          <w:rFonts w:ascii="Arial" w:cs="Arial" w:eastAsia="Arial" w:hAnsi="Arial"/>
          <w:sz w:val="21"/>
          <w:szCs w:val="21"/>
          <w:i w:val="1"/>
          <w:iCs w:val="1"/>
          <w:color w:val="auto"/>
        </w:rPr>
        <w:t>ondernemingsraad</w:t>
      </w:r>
      <w:r>
        <w:rPr>
          <w:rFonts w:ascii="Arial" w:cs="Arial" w:eastAsia="Arial" w:hAnsi="Arial"/>
          <w:sz w:val="21"/>
          <w:szCs w:val="21"/>
          <w:color w:val="auto"/>
        </w:rPr>
        <w:t>) has been, is in the process of being or is required to be established with respect to the undertaking of the Dutch Loan Party and that is has not received any request from their respective employees to install a work council.</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Each Post-Effective Date Credit Event</w:t>
      </w:r>
      <w:r>
        <w:rPr>
          <w:rFonts w:ascii="Arial" w:cs="Arial" w:eastAsia="Arial" w:hAnsi="Arial"/>
          <w:sz w:val="19"/>
          <w:szCs w:val="19"/>
          <w:color w:val="auto"/>
        </w:rPr>
        <w:t>. After the Effective Date, the obligations of the Lenders to make Loans on the occasion of any Borrowing, and of the Issuing Banks to issue, amend, renew or extend any Letter of Credit is subject to receipt of the request therefor in accordance herewith and to the satisfaction of the following conditions:</w:t>
      </w:r>
    </w:p>
    <w:p>
      <w:pPr>
        <w:spacing w:after="0" w:line="133" w:lineRule="exact"/>
        <w:rPr>
          <w:sz w:val="20"/>
          <w:szCs w:val="20"/>
          <w:color w:val="auto"/>
        </w:rPr>
      </w:pPr>
    </w:p>
    <w:p>
      <w:pPr>
        <w:jc w:val="both"/>
        <w:ind w:firstLine="656"/>
        <w:spacing w:after="0" w:line="297" w:lineRule="auto"/>
        <w:tabs>
          <w:tab w:leader="none" w:pos="11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representations and warranties of each Loan Party set forth in the Loan Documents shall be true and correct in all material respects (or, in the case of representations and warranties qualified as to materiality, in all respects) on and as of the date of such Borrowing or the date of issuance, amendment, renewal or extension of such Letter of Credit, as applicable, except in the case of any such representation and warranty that expressly relates to a prior date, in which case such representation and warranty shall be true and correct in all material respects (or in all respects, as applicable) as of such earlier date.</w:t>
      </w:r>
    </w:p>
    <w:p>
      <w:pPr>
        <w:spacing w:after="0" w:line="146" w:lineRule="exact"/>
        <w:rPr>
          <w:rFonts w:ascii="Arial" w:cs="Arial" w:eastAsia="Arial" w:hAnsi="Arial"/>
          <w:sz w:val="19"/>
          <w:szCs w:val="19"/>
          <w:color w:val="auto"/>
        </w:rPr>
      </w:pPr>
    </w:p>
    <w:p>
      <w:pPr>
        <w:ind w:firstLine="656"/>
        <w:spacing w:after="0" w:line="287" w:lineRule="auto"/>
        <w:tabs>
          <w:tab w:leader="none" w:pos="1233" w:val="left"/>
        </w:tabs>
        <w:numPr>
          <w:ilvl w:val="1"/>
          <w:numId w:val="132"/>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51" w:lineRule="exact"/>
        <w:rPr>
          <w:rFonts w:ascii="Arial" w:cs="Arial" w:eastAsia="Arial" w:hAnsi="Arial"/>
          <w:sz w:val="21"/>
          <w:szCs w:val="21"/>
          <w:color w:val="auto"/>
        </w:rPr>
      </w:pPr>
    </w:p>
    <w:p>
      <w:pPr>
        <w:ind w:firstLine="656"/>
        <w:spacing w:after="0" w:line="263" w:lineRule="auto"/>
        <w:tabs>
          <w:tab w:leader="none" w:pos="1202"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Borrowing, the Consolidated Cash Balance shall not exceed $225,000,000.</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The applicable Borrower shall have delivered (i) in the case of any Borrowing, the notice required by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with respect to the issuance, amendment, renewal or extension of any Letter of Credit, the notice required by </w:t>
      </w:r>
      <w:r>
        <w:rPr>
          <w:rFonts w:ascii="Arial" w:cs="Arial" w:eastAsia="Arial" w:hAnsi="Arial"/>
          <w:sz w:val="19"/>
          <w:szCs w:val="19"/>
          <w:u w:val="single" w:color="auto"/>
          <w:color w:val="auto"/>
        </w:rPr>
        <w:t>Section 2.05(b)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28" w:right="339" w:bottom="1440" w:gutter="0" w:footer="0" w:header="0"/>
        </w:sectPr>
      </w:pPr>
    </w:p>
    <w:bookmarkStart w:id="186" w:name="page187"/>
    <w:bookmarkEnd w:id="186"/>
    <w:p>
      <w:pPr>
        <w:jc w:val="both"/>
        <w:ind w:firstLine="648"/>
        <w:spacing w:after="0" w:line="288" w:lineRule="auto"/>
        <w:rPr>
          <w:sz w:val="20"/>
          <w:szCs w:val="20"/>
          <w:color w:val="auto"/>
        </w:rPr>
      </w:pPr>
      <w:r>
        <w:rPr>
          <w:rFonts w:ascii="Arial" w:cs="Arial" w:eastAsia="Arial" w:hAnsi="Arial"/>
          <w:sz w:val="19"/>
          <w:szCs w:val="19"/>
          <w:color w:val="auto"/>
        </w:rPr>
        <w:t>Each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conversion or a continuation of a Borrowing shall not constitute a “Borrowing”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each issuance, amendment, renewal or extension of a Letter of Credit shall be deemed to constitute a representation and warranty by the Borrowers on the date thereof as to the matters specified in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From and including the Effective Date and until the Commitments shall have expired or been terminated and the principal of and interest on each Loan and all fees, expenses other amounts (other than contingent amounts not yet due) payable under this Agreement or any other Loan Document and the other Loan Document Obligations shall have been paid in full and all Letters of Credit (other than those collateralized or back-stopped on terms reasonably satisfactory to the applicable Issuing Bank) shall have expired or been terminated and all LC Disbursements shall have been reimbursed, the Borrowers covenant and agree with the Lenders that:</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The Company will furnish to the Administrative Agent, which shall furnish to each Lender, the following:</w:t>
      </w:r>
    </w:p>
    <w:p>
      <w:pPr>
        <w:spacing w:after="0" w:line="175" w:lineRule="exact"/>
        <w:rPr>
          <w:sz w:val="20"/>
          <w:szCs w:val="20"/>
          <w:color w:val="auto"/>
        </w:rPr>
      </w:pPr>
    </w:p>
    <w:p>
      <w:pPr>
        <w:jc w:val="both"/>
        <w:ind w:firstLine="656"/>
        <w:spacing w:after="0" w:line="286" w:lineRule="auto"/>
        <w:tabs>
          <w:tab w:leader="none" w:pos="112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within 90 days after the end of each fiscal year (or such later date as Form 10-K is required to be filed with the SEC taking into account any extension granted by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gives the Administrative Agent notice of any such extension), its audited consolidated balance sheet and audited consolidated statements of operations, shareholders’ equity and cash flows as of the end of and for such fiscal year, and related notes thereto, setting forth in each case in comparative form the figures for the previous fiscal year, prepared in accordance with GAAP consistently applied and reported on by PricewaterhouseCoopers LLP or other independent public accountants of recognized national standing (without a “going concern” or like qualification, exception or statement and without any qualification or exception as to the scope of such audit other than with respect to internal controls over financial reporting for which an opinion as to effectiveness is not required) to the effect that such financial statements present fairly in all material respects the financial condition, results of operations and cash flow of the Company and its Subsidiaries on a consolidated basis as of the end of and for such fiscal year and accompanied by a management’s discussion and analysis describing the financial position, results of operations and cash flow of the Company and its consolidated Subsidiaries (for the avoidance of doubt, the delivery of a filed Form 10-K by the Company to the Administrative Agent shall be deemed to satisfy the delivery requirement of management’s discussion and analysis required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5.01(a)</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65" w:lineRule="auto"/>
        <w:tabs>
          <w:tab w:leader="none" w:pos="1162"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within 45 days after the end of each of the first three fiscal quarters of each fiscal year (or such later date as Form 10-Q of the Company is required to be filed with the SEC taking into account any extension granted by the SEC,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gives the Administrative Agent notice of any such extension), its unaudited consolidated balance sheet and unaudited consolidated statements of operations and cash flows as of the end of and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28" w:right="339" w:bottom="1440" w:gutter="0" w:footer="0" w:header="0"/>
        </w:sectPr>
      </w:pPr>
    </w:p>
    <w:bookmarkStart w:id="187" w:name="page188"/>
    <w:bookmarkEnd w:id="187"/>
    <w:p>
      <w:pPr>
        <w:jc w:val="both"/>
        <w:spacing w:after="0" w:line="289" w:lineRule="auto"/>
        <w:rPr>
          <w:sz w:val="20"/>
          <w:szCs w:val="20"/>
          <w:color w:val="auto"/>
        </w:rPr>
      </w:pPr>
      <w:r>
        <w:rPr>
          <w:rFonts w:ascii="Arial" w:cs="Arial" w:eastAsia="Arial" w:hAnsi="Arial"/>
          <w:sz w:val="19"/>
          <w:szCs w:val="19"/>
          <w:color w:val="auto"/>
        </w:rPr>
        <w:t xml:space="preserve">fiscal quarter and the then elapsed portion of the then-current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results of operations and cash flows of the Company and its Subsidiaries on a consolidated basis as of the end of and for such fiscal quarter and such portion of the then-current fiscal year in accordance with GAAP consistently applied, subject to normal year-end audit adjustments and the absence of footnotes, and accompanied by a management’s discussion and analysis describing the financial position, results of operations and cash flow of the Company and its consolidated Subsidiaries (for the avoidance of doubt, the delivery of a filed Form 10-K by the Company to the Administrative Agent shall be deemed to satisfy the delivery requirement of management’s discussion and analysis required by this </w:t>
      </w:r>
      <w:r>
        <w:rPr>
          <w:rFonts w:ascii="Arial" w:cs="Arial" w:eastAsia="Arial" w:hAnsi="Arial"/>
          <w:sz w:val="19"/>
          <w:szCs w:val="19"/>
          <w:u w:val="single" w:color="auto"/>
          <w:color w:val="auto"/>
        </w:rPr>
        <w:t>Section 5.01(b)</w:t>
      </w:r>
      <w:r>
        <w:rPr>
          <w:rFonts w:ascii="Arial" w:cs="Arial" w:eastAsia="Arial" w:hAnsi="Arial"/>
          <w:sz w:val="19"/>
          <w:szCs w:val="19"/>
          <w:color w:val="auto"/>
        </w:rPr>
        <w:t>);</w:t>
      </w:r>
    </w:p>
    <w:p>
      <w:pPr>
        <w:spacing w:after="0" w:line="157" w:lineRule="exact"/>
        <w:rPr>
          <w:sz w:val="20"/>
          <w:szCs w:val="20"/>
          <w:color w:val="auto"/>
        </w:rPr>
      </w:pPr>
    </w:p>
    <w:p>
      <w:pPr>
        <w:jc w:val="both"/>
        <w:ind w:firstLine="656"/>
        <w:spacing w:after="0" w:line="286" w:lineRule="auto"/>
        <w:tabs>
          <w:tab w:leader="none" w:pos="121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financial statements under clause (a) or (b) above, a certificate of a Financial Officer of the Company (i) certifying as to whether a Default has occurred and, if a Default has occurred, specifying the details thereof and any action taken or proposed to be taken with respect thereto, (ii) setting forth reasonably detailed calculations demonstrating compliance with the Financial Covenants on a Pro Forma Basis, (iii) stating whether any change in GAAP or in the application thereof has occurred since the later of the date of the Company’s audited financial statements referred to in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and the date of the prior certificate delivered pursuant to this clause (c) indicating such a change and, if any such change has occurred, specifying the effect of such change on the financial statements accompanying such certificate, (iv) in the case of financial statements delivered under clause (a) above, setting forth a current list of all Material Subsidiaries and, to the extent required by the definition of “Material Subsidiaries”, designating one or more previously excluded Restricted Subsidiaries as a Material Subsidiary, (v) at any time when there is any Unrestricted Subsidiary, including as an attachment with respect to each such financial statement, an Unrestricted Subsidiary Reconciliation Statement (except to the extent that the information required thereby is separately provided with the public filing of such financial statement) and (vi) setting forth a current list of all Bilateral Facilities, the aggregate principal amount of Indebtedness outstanding thereunder and indicating which, if any, of such Bilateral Facilities are Secured Bilateral Facilities;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53" w:lineRule="auto"/>
        <w:tabs>
          <w:tab w:leader="none" w:pos="111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promptly following any request therefor,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85" w:lineRule="exact"/>
        <w:rPr>
          <w:rFonts w:ascii="Arial" w:cs="Arial" w:eastAsia="Arial" w:hAnsi="Arial"/>
          <w:sz w:val="22"/>
          <w:szCs w:val="22"/>
          <w:color w:val="auto"/>
        </w:rPr>
      </w:pPr>
    </w:p>
    <w:p>
      <w:pPr>
        <w:jc w:val="both"/>
        <w:ind w:firstLine="656"/>
        <w:spacing w:after="0" w:line="271" w:lineRule="auto"/>
        <w:tabs>
          <w:tab w:leader="none" w:pos="1158" w:val="left"/>
        </w:tabs>
        <w:numPr>
          <w:ilvl w:val="0"/>
          <w:numId w:val="135"/>
        </w:numPr>
        <w:rPr>
          <w:rFonts w:ascii="Arial" w:cs="Arial" w:eastAsia="Arial" w:hAnsi="Arial"/>
          <w:sz w:val="21"/>
          <w:szCs w:val="21"/>
          <w:color w:val="auto"/>
        </w:rPr>
      </w:pPr>
      <w:r>
        <w:rPr>
          <w:rFonts w:ascii="Arial" w:cs="Arial" w:eastAsia="Arial" w:hAnsi="Arial"/>
          <w:sz w:val="21"/>
          <w:szCs w:val="21"/>
          <w:color w:val="auto"/>
        </w:rPr>
        <w:t>promptly after the same becomes publicly available, copies of all periodic and other reports, proxy statements and other materials filed by the Company or any Restricted Subsidiary with the SEC or with any national securities exchange, or distributed by the Company to the holders of its Equity Interests generally,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28" w:right="339" w:bottom="1440" w:gutter="0" w:footer="0" w:header="0"/>
        </w:sectPr>
      </w:pPr>
    </w:p>
    <w:bookmarkStart w:id="188" w:name="page189"/>
    <w:bookmarkEnd w:id="188"/>
    <w:p>
      <w:pPr>
        <w:ind w:firstLine="656"/>
        <w:spacing w:after="0" w:line="263" w:lineRule="auto"/>
        <w:tabs>
          <w:tab w:leader="none" w:pos="110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promptly upon becoming aware of Moody’s or S&amp;P having announced a change in the rating established or deemed to have been established for any Index Debt, written notice of such rating change;</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9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promptly following any request therefor, such information as may be reasonably requested by the Administrative Agent from time to time with respect to any cash excluded from the monthly calculation of the Company’s Consolidated Cash Balance in reliance on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of the definition thereof; and</w:t>
      </w:r>
    </w:p>
    <w:p>
      <w:pPr>
        <w:spacing w:after="0" w:line="185" w:lineRule="exact"/>
        <w:rPr>
          <w:rFonts w:ascii="Arial" w:cs="Arial" w:eastAsia="Arial" w:hAnsi="Arial"/>
          <w:sz w:val="22"/>
          <w:szCs w:val="22"/>
          <w:color w:val="auto"/>
        </w:rPr>
      </w:pPr>
    </w:p>
    <w:p>
      <w:pPr>
        <w:jc w:val="both"/>
        <w:ind w:firstLine="656"/>
        <w:spacing w:after="0" w:line="302" w:lineRule="auto"/>
        <w:tabs>
          <w:tab w:leader="none" w:pos="1142"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promptly following any request therefor, but subject to the limitations set forth in the proviso to the last sentence of </w:t>
      </w:r>
      <w:r>
        <w:rPr>
          <w:rFonts w:ascii="Arial" w:cs="Arial" w:eastAsia="Arial" w:hAnsi="Arial"/>
          <w:sz w:val="19"/>
          <w:szCs w:val="19"/>
          <w:u w:val="single" w:color="auto"/>
          <w:color w:val="auto"/>
        </w:rPr>
        <w:t>Section 5.09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9.12</w:t>
      </w:r>
      <w:r>
        <w:rPr>
          <w:rFonts w:ascii="Arial" w:cs="Arial" w:eastAsia="Arial" w:hAnsi="Arial"/>
          <w:sz w:val="19"/>
          <w:szCs w:val="19"/>
          <w:color w:val="auto"/>
        </w:rPr>
        <w:t>, such other information regarding the operations, business affairs, assets, liabilities (including contingent liabilities) and financial condition of the Company or any Restricted Subsidiary, or compliance with the terms of this Agreement or any other Loan Document, as the Administrative Agent, any Issuing Bank or any Lender may reasonably request.</w:t>
      </w:r>
    </w:p>
    <w:p>
      <w:pPr>
        <w:spacing w:after="0" w:line="1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Company’s behalf on an Internet or intranet website, if any, to which each Lender and the Administrative Agent have access (whether a commercial, third-party website or whether made available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upon written request by the Administrative Agent (or any Lender through the Administrative Agent) to the Company, the Company shall deliver paper copies of such documents to the Administrative Agent or such Lender until a written request to cease delivering paper copies is given by the Administrative Agent or such Lender and (B) the Company shall notify the Administrative Agent and each Lender (by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timely accessing posted documents or requesting delivery of paper copies of such document to it and maintaining its copies of such documents.</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Company will furnish to the Administrative Agent, which shall furnish to each Issuing Bank and each Lender, prompt written notice of the following:</w:t>
      </w:r>
    </w:p>
    <w:p>
      <w:pPr>
        <w:spacing w:after="0" w:line="175" w:lineRule="exact"/>
        <w:rPr>
          <w:sz w:val="20"/>
          <w:szCs w:val="20"/>
          <w:color w:val="auto"/>
        </w:rPr>
      </w:pPr>
    </w:p>
    <w:p>
      <w:pPr>
        <w:ind w:left="1120" w:hanging="464"/>
        <w:spacing w:after="0"/>
        <w:tabs>
          <w:tab w:leader="none" w:pos="11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19" w:lineRule="exact"/>
        <w:rPr>
          <w:rFonts w:ascii="Arial" w:cs="Arial" w:eastAsia="Arial" w:hAnsi="Arial"/>
          <w:sz w:val="22"/>
          <w:szCs w:val="22"/>
          <w:color w:val="auto"/>
        </w:rPr>
      </w:pPr>
    </w:p>
    <w:p>
      <w:pPr>
        <w:jc w:val="both"/>
        <w:ind w:firstLine="656"/>
        <w:spacing w:after="0" w:line="312" w:lineRule="auto"/>
        <w:tabs>
          <w:tab w:leader="none" w:pos="1129"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filing or commencement of any action, suit or proceeding by or before any arbitrator or Governmental Authority against or, to the Knowledge of the Borrowers, the Borrowers or any Restricted Subsidiary, or any adverse development in any such pending action, suit or proceeding not previously disclosed in writing by the Borrowers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28" w:right="339" w:bottom="1440" w:gutter="0" w:footer="0" w:header="0"/>
        </w:sectPr>
      </w:pPr>
    </w:p>
    <w:bookmarkStart w:id="189" w:name="page190"/>
    <w:bookmarkEnd w:id="189"/>
    <w:p>
      <w:pPr>
        <w:spacing w:after="0" w:line="263" w:lineRule="auto"/>
        <w:rPr>
          <w:sz w:val="20"/>
          <w:szCs w:val="20"/>
          <w:color w:val="auto"/>
        </w:rPr>
      </w:pPr>
      <w:r>
        <w:rPr>
          <w:rFonts w:ascii="Arial" w:cs="Arial" w:eastAsia="Arial" w:hAnsi="Arial"/>
          <w:sz w:val="22"/>
          <w:szCs w:val="22"/>
          <w:color w:val="auto"/>
        </w:rPr>
        <w:t>Agent, that in each case could reasonably be expected to result in a Material Adverse Effect or that in any manner questions the validity of this Agreement or any other Loan Document;</w:t>
      </w:r>
    </w:p>
    <w:p>
      <w:pPr>
        <w:spacing w:after="0" w:line="175" w:lineRule="exact"/>
        <w:rPr>
          <w:sz w:val="20"/>
          <w:szCs w:val="20"/>
          <w:color w:val="auto"/>
        </w:rPr>
      </w:pPr>
    </w:p>
    <w:p>
      <w:pPr>
        <w:ind w:left="1120" w:hanging="464"/>
        <w:spacing w:after="0"/>
        <w:tabs>
          <w:tab w:leader="none" w:pos="112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any material change in accounting or financial reporting practices by the Company or any Subsidiary;</w:t>
      </w:r>
    </w:p>
    <w:p>
      <w:pPr>
        <w:spacing w:after="0" w:line="219" w:lineRule="exact"/>
        <w:rPr>
          <w:rFonts w:ascii="Arial" w:cs="Arial" w:eastAsia="Arial" w:hAnsi="Arial"/>
          <w:sz w:val="22"/>
          <w:szCs w:val="22"/>
          <w:color w:val="auto"/>
        </w:rPr>
      </w:pPr>
    </w:p>
    <w:p>
      <w:pPr>
        <w:ind w:firstLine="656"/>
        <w:spacing w:after="0" w:line="263" w:lineRule="auto"/>
        <w:tabs>
          <w:tab w:leader="none" w:pos="123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any change in the information provided in the Beneficial Ownership Certification delivered to any Lender that would result in a change to the list of beneficial owners identified in such certification; and</w:t>
      </w:r>
    </w:p>
    <w:p>
      <w:pPr>
        <w:spacing w:after="0" w:line="174" w:lineRule="exact"/>
        <w:rPr>
          <w:rFonts w:ascii="Arial" w:cs="Arial" w:eastAsia="Arial" w:hAnsi="Arial"/>
          <w:sz w:val="22"/>
          <w:szCs w:val="22"/>
          <w:color w:val="auto"/>
        </w:rPr>
      </w:pPr>
    </w:p>
    <w:p>
      <w:pPr>
        <w:ind w:firstLine="656"/>
        <w:spacing w:after="0" w:line="263" w:lineRule="auto"/>
        <w:tabs>
          <w:tab w:leader="none" w:pos="112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any other development (including notice of any matter or event that could give rise to an Environmental Liability or ERISA Event) that has resulted, or could reasonably be expected to result, in a Material Adverse Effect.</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Each notice delivered under this Section (i) shall be in writing, (ii) shall contain a heading or a reference line that reads “Notice under </w:t>
      </w:r>
      <w:r>
        <w:rPr>
          <w:rFonts w:ascii="Arial" w:cs="Arial" w:eastAsia="Arial" w:hAnsi="Arial"/>
          <w:sz w:val="21"/>
          <w:szCs w:val="21"/>
          <w:u w:val="single" w:color="auto"/>
          <w:color w:val="auto"/>
        </w:rPr>
        <w:t>Section 5.02</w:t>
      </w:r>
      <w:r>
        <w:rPr>
          <w:rFonts w:ascii="Arial" w:cs="Arial" w:eastAsia="Arial" w:hAnsi="Arial"/>
          <w:sz w:val="21"/>
          <w:szCs w:val="21"/>
          <w:color w:val="auto"/>
        </w:rPr>
        <w:t xml:space="preserve"> of TechnipFMC Credit Agreement dated February 16, 2021” and (iii)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7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Information Regarding Collateral</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9" w:lineRule="auto"/>
        <w:tabs>
          <w:tab w:leader="none" w:pos="113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Borrowers will furnish to the Administrative Agent prompt (and in any event within 30 days) written notice of any change (i) in any Loan Party’s legal name, as set forth in such Loan Party’s organizational documents, (ii) in the jurisdiction of incorporation, establishment or organization of any Loan Party, (iii) in the form of organization of any Loan Party or (iv) in any Loan Party’s organizational identification number or company registration number, if any, or, with respect to a Loan Party organized under the laws of a jurisdiction that requires such information to be set forth on the face of a Uniform Commercial Code financing statement, the Federal Taxpayer Identification Number of such Loan Party. The Borrowers shall provide the Administrative Agent with certified organizational documents reflecting any of the changes described in the preceding sentence and shall, and shall cause the other Loan Parties to, take all action necessary to maintain the perfection and priority of the security interest of the Collateral Agent for the benefit of the Secured Parties in the Collateral, if applicable.</w:t>
      </w:r>
    </w:p>
    <w:p>
      <w:pPr>
        <w:spacing w:after="0" w:line="156" w:lineRule="exact"/>
        <w:rPr>
          <w:rFonts w:ascii="Arial" w:cs="Arial" w:eastAsia="Arial" w:hAnsi="Arial"/>
          <w:sz w:val="19"/>
          <w:szCs w:val="19"/>
          <w:color w:val="auto"/>
        </w:rPr>
      </w:pPr>
    </w:p>
    <w:p>
      <w:pPr>
        <w:jc w:val="both"/>
        <w:ind w:firstLine="656"/>
        <w:spacing w:after="0" w:line="247" w:lineRule="auto"/>
        <w:tabs>
          <w:tab w:leader="none" w:pos="136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Borrowers shall deliver to the Administrative Agent, promptly following a written request from the Administrative Agent, a supplemental perfection certificate (i) indicating, in a manner reasonably satisfactory to the Administrative Agent, any changes in the information included in the Perfection Certificate delivered on the Effective Date or the most recent supplement thereto delivered pursuant to this Section or (ii) certifying that there has been no change in such information from the Perfection Certificate delivered on the Effective Date or the most recent supplement thereto delivered pursuant to this Section.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Existence; Conduct of Business</w:t>
      </w:r>
      <w:r>
        <w:rPr>
          <w:rFonts w:ascii="Arial" w:cs="Arial" w:eastAsia="Arial" w:hAnsi="Arial"/>
          <w:sz w:val="22"/>
          <w:szCs w:val="22"/>
          <w:color w:val="auto"/>
        </w:rPr>
        <w:t>. The Borrowers will, and will cause each of their Restricted Subsidiaries to, (a) preserve, renew and keep in full force and effect their legal existence and (b) take all reasonable action to maintain the rights, licenses,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28" w:right="339" w:bottom="1440" w:gutter="0" w:footer="0" w:header="0"/>
        </w:sectPr>
      </w:pPr>
    </w:p>
    <w:bookmarkStart w:id="190" w:name="page191"/>
    <w:bookmarkEnd w:id="190"/>
    <w:p>
      <w:pPr>
        <w:jc w:val="both"/>
        <w:spacing w:after="0" w:line="263" w:lineRule="auto"/>
        <w:rPr>
          <w:sz w:val="20"/>
          <w:szCs w:val="20"/>
          <w:color w:val="auto"/>
        </w:rPr>
      </w:pPr>
      <w:r>
        <w:rPr>
          <w:rFonts w:ascii="Arial" w:cs="Arial" w:eastAsia="Arial" w:hAnsi="Arial"/>
          <w:sz w:val="21"/>
          <w:szCs w:val="21"/>
          <w:color w:val="auto"/>
        </w:rPr>
        <w:t xml:space="preserve">privileges, franchises, patents, copyrights, trademarks, trade names and other intellectual property necessary for the conduct of their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(i) any merger, consolidation, liquidation or dissolution permitted under </w:t>
      </w:r>
      <w:r>
        <w:rPr>
          <w:rFonts w:ascii="Arial" w:cs="Arial" w:eastAsia="Arial" w:hAnsi="Arial"/>
          <w:sz w:val="21"/>
          <w:szCs w:val="21"/>
          <w:u w:val="single" w:color="auto"/>
          <w:color w:val="auto"/>
        </w:rPr>
        <w:t>Section 6.03</w:t>
      </w:r>
      <w:r>
        <w:rPr>
          <w:rFonts w:ascii="Arial" w:cs="Arial" w:eastAsia="Arial" w:hAnsi="Arial"/>
          <w:sz w:val="21"/>
          <w:szCs w:val="21"/>
          <w:color w:val="auto"/>
        </w:rPr>
        <w:t xml:space="preserve"> or (ii) the Borrowers and each of their Restricted Subsidiaries from allowing their respective immaterial patents, copyrights, trademarks, trade names and other intellectual property to lapse, expire or become abandoned in the ordinary course of business or their reasonable business judgment, as applicable.</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Payment of Taxes</w:t>
      </w:r>
      <w:r>
        <w:rPr>
          <w:rFonts w:ascii="Arial" w:cs="Arial" w:eastAsia="Arial" w:hAnsi="Arial"/>
          <w:sz w:val="22"/>
          <w:szCs w:val="22"/>
          <w:color w:val="auto"/>
        </w:rPr>
        <w:t>. The Borrowers will, and will cause each of their Restricted Subsidiaries to, pay their Tax liabilities before the same shall become delinquent or in default (including in their capacity as a withholding agent), except where (a) (i) the validity or amount thereof is being contested in good faith by appropriate proceedings and (ii) the Borrowers or such Restricted Subsidiary has set aside on their books adequate reserves with respect thereto in accordance with GAAP or (b) the failure to make payment would not reasonably be expected, individually or in the aggregate, to result in a Material Adverse Effect.</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Except if failure to do so would not reasonably be expected to have a Material Adverse Effect, the Borrowers will, and will cause each of their Restricted Subsidiaries to, keep and maintain all property necessary for the conduct of their business in good working order and condition, ordinary wear and tear excepted.</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Insurance</w:t>
      </w:r>
      <w:r>
        <w:rPr>
          <w:rFonts w:ascii="Arial" w:cs="Arial" w:eastAsia="Arial" w:hAnsi="Arial"/>
          <w:sz w:val="19"/>
          <w:szCs w:val="19"/>
          <w:color w:val="auto"/>
        </w:rPr>
        <w:t>. The Borrowers will, and will cause each of their Restricted Subsidiaries to, maintain, with financially sound and reputable insurance companies, insurance in such amounts (with no greater risk retention) and against such risks as is customarily maintained by companies of established repute engaged in the same or similar businesses operating in the same or similar locations. Each such policy of liability or property insurance maintained by or on behalf of the Loan Parties will</w:t>
      </w:r>
    </w:p>
    <w:p>
      <w:pPr>
        <w:spacing w:after="0" w:line="3" w:lineRule="exact"/>
        <w:rPr>
          <w:sz w:val="20"/>
          <w:szCs w:val="20"/>
          <w:color w:val="auto"/>
        </w:rPr>
      </w:pPr>
    </w:p>
    <w:p>
      <w:pPr>
        <w:jc w:val="both"/>
        <w:ind w:firstLine="8"/>
        <w:spacing w:after="0" w:line="284" w:lineRule="auto"/>
        <w:tabs>
          <w:tab w:leader="none" w:pos="29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in the case of each liability insurance policy (other than workers’ compensation, director and officer liability or other policies in which such endorsements are not customary), name the Administrative Agent and the Secured Parties as additional insureds thereunder, (b) in the case of each property insurance policy, contain a lender’s loss payable or mortgagee clause or endorsement, as applicable, that names the Administrative Agent and/or the Collateral Agent, as applicable, on behalf of the Secured Parties, as the lender’s loss payee and mortgagee, as applicable, thereunder and (c) provide for at least 30 days’ prior written notice to the Administrative Agent and/or the Collateral Agent of any cancellation of such policy (or 10 days’ prior written notice in the case of cancellation of such policy for nonpayment). If any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Borrowers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(ii) cooperate with the Administrative Agent and each Lender and provide information reasonably required by the Administrative Agent and such Lender to comply with the Flood Insurance Laws and (iii) deliver to the Administrative Agent and each Lender evidence of such compliance in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28" w:right="339" w:bottom="1440" w:gutter="0" w:footer="0" w:header="0"/>
        </w:sectPr>
      </w:pPr>
    </w:p>
    <w:bookmarkStart w:id="191" w:name="page192"/>
    <w:bookmarkEnd w:id="191"/>
    <w:p>
      <w:pPr>
        <w:spacing w:after="0" w:line="263" w:lineRule="auto"/>
        <w:rPr>
          <w:sz w:val="20"/>
          <w:szCs w:val="20"/>
          <w:color w:val="auto"/>
        </w:rPr>
      </w:pPr>
      <w:r>
        <w:rPr>
          <w:rFonts w:ascii="Arial" w:cs="Arial" w:eastAsia="Arial" w:hAnsi="Arial"/>
          <w:sz w:val="22"/>
          <w:szCs w:val="22"/>
          <w:color w:val="auto"/>
        </w:rPr>
        <w:t>reasonably acceptable to the Administrative Agent and such Lender, including, without limitation, evidence of annual renewals of such insurance.</w:t>
      </w:r>
    </w:p>
    <w:p>
      <w:pPr>
        <w:spacing w:after="0" w:line="17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5.08.</w:t>
      </w:r>
      <w:r>
        <w:rPr>
          <w:sz w:val="20"/>
          <w:szCs w:val="20"/>
          <w:color w:val="auto"/>
        </w:rPr>
        <w:tab/>
      </w:r>
      <w:r>
        <w:rPr>
          <w:rFonts w:ascii="Arial" w:cs="Arial" w:eastAsia="Arial" w:hAnsi="Arial"/>
          <w:sz w:val="19"/>
          <w:szCs w:val="19"/>
          <w:u w:val="single" w:color="auto"/>
          <w:color w:val="auto"/>
        </w:rPr>
        <w:t>Environmental</w:t>
      </w:r>
      <w:r>
        <w:rPr>
          <w:rFonts w:ascii="Arial" w:cs="Arial" w:eastAsia="Arial" w:hAnsi="Arial"/>
          <w:sz w:val="19"/>
          <w:szCs w:val="19"/>
          <w:color w:val="auto"/>
        </w:rPr>
        <w:t>.</w:t>
      </w:r>
    </w:p>
    <w:p>
      <w:pPr>
        <w:spacing w:after="0" w:line="220" w:lineRule="exact"/>
        <w:rPr>
          <w:sz w:val="20"/>
          <w:szCs w:val="20"/>
          <w:color w:val="auto"/>
        </w:rPr>
      </w:pPr>
    </w:p>
    <w:p>
      <w:pPr>
        <w:ind w:left="1120" w:hanging="464"/>
        <w:spacing w:after="0"/>
        <w:tabs>
          <w:tab w:leader="none" w:pos="112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Environmental Disclosure</w:t>
      </w:r>
      <w:r>
        <w:rPr>
          <w:rFonts w:ascii="Arial" w:cs="Arial" w:eastAsia="Arial" w:hAnsi="Arial"/>
          <w:sz w:val="22"/>
          <w:szCs w:val="22"/>
          <w:color w:val="auto"/>
        </w:rPr>
        <w:t>. The Borrowers will deliver to the Administrative Agent:</w:t>
      </w:r>
    </w:p>
    <w:p>
      <w:pPr>
        <w:spacing w:after="0" w:line="219" w:lineRule="exact"/>
        <w:rPr>
          <w:rFonts w:ascii="Arial" w:cs="Arial" w:eastAsia="Arial" w:hAnsi="Arial"/>
          <w:sz w:val="22"/>
          <w:szCs w:val="22"/>
          <w:color w:val="auto"/>
        </w:rPr>
      </w:pPr>
    </w:p>
    <w:p>
      <w:pPr>
        <w:jc w:val="both"/>
        <w:ind w:left="660" w:firstLine="644"/>
        <w:spacing w:after="0" w:line="263" w:lineRule="auto"/>
        <w:tabs>
          <w:tab w:leader="none" w:pos="1843" w:val="left"/>
        </w:tabs>
        <w:numPr>
          <w:ilvl w:val="1"/>
          <w:numId w:val="141"/>
        </w:numPr>
        <w:rPr>
          <w:rFonts w:ascii="Arial" w:cs="Arial" w:eastAsia="Arial" w:hAnsi="Arial"/>
          <w:sz w:val="21"/>
          <w:szCs w:val="21"/>
          <w:color w:val="auto"/>
        </w:rPr>
      </w:pPr>
      <w:r>
        <w:rPr>
          <w:rFonts w:ascii="Arial" w:cs="Arial" w:eastAsia="Arial" w:hAnsi="Arial"/>
          <w:sz w:val="21"/>
          <w:szCs w:val="21"/>
          <w:color w:val="auto"/>
        </w:rPr>
        <w:t>as soon as reasonably practicable following the sending or receipt thereof by the Borrowers or any of their Restricted Subsidiaries, a copy of material written non-privileged communications with respect to (A) any Environmental Claims that, individually or in the aggregate, are reasonably expected to give rise to a Material Adverse Effect and (B) any Release required to be reported by the Borrowers or any of their Restricted Subsidiaries to any Governmental Authority that reasonably could be expected to have a Material Adverse Effect;</w:t>
      </w:r>
    </w:p>
    <w:p>
      <w:pPr>
        <w:spacing w:after="0" w:line="175" w:lineRule="exact"/>
        <w:rPr>
          <w:rFonts w:ascii="Arial" w:cs="Arial" w:eastAsia="Arial" w:hAnsi="Arial"/>
          <w:sz w:val="21"/>
          <w:szCs w:val="21"/>
          <w:color w:val="auto"/>
        </w:rPr>
      </w:pPr>
    </w:p>
    <w:p>
      <w:pPr>
        <w:ind w:left="660" w:firstLine="644"/>
        <w:spacing w:after="0" w:line="343" w:lineRule="auto"/>
        <w:tabs>
          <w:tab w:leader="none" w:pos="180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with reasonable promptness, such other non-privileged documents and information as from time to time may be reasonably requested by the Administrative Agent in relation to any matters disclosed pursuant to this </w:t>
      </w:r>
      <w:r>
        <w:rPr>
          <w:rFonts w:ascii="Arial" w:cs="Arial" w:eastAsia="Arial" w:hAnsi="Arial"/>
          <w:sz w:val="19"/>
          <w:szCs w:val="19"/>
          <w:u w:val="single" w:color="auto"/>
          <w:color w:val="auto"/>
        </w:rPr>
        <w:t>Section 5.08(a)</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656"/>
        <w:spacing w:after="0" w:line="248" w:lineRule="auto"/>
        <w:tabs>
          <w:tab w:leader="none" w:pos="1197"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Hazardous Materials Activities, Etc.</w:t>
      </w:r>
      <w:r>
        <w:rPr>
          <w:rFonts w:ascii="Arial" w:cs="Arial" w:eastAsia="Arial" w:hAnsi="Arial"/>
          <w:sz w:val="22"/>
          <w:szCs w:val="22"/>
          <w:color w:val="auto"/>
        </w:rPr>
        <w:t xml:space="preserve"> The Borrowers shall promptly take, and shall cause each of their Restricted Subsidiaries promptly to take, any and all actions necessary to (i) cure any violation of Environmental Laws that could reasonably be expected to have, individually or in the aggregate, a Material Adverse Effect and (ii) make an appropriate response to any Environmental Claim, in each case, where failure to do so could reasonably be expected to have, individually or in the aggregate, a Material Adverse Effect.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Books and Records; Inspection and Audit Rights</w:t>
      </w:r>
      <w:r>
        <w:rPr>
          <w:rFonts w:ascii="Arial" w:cs="Arial" w:eastAsia="Arial" w:hAnsi="Arial"/>
          <w:sz w:val="19"/>
          <w:szCs w:val="19"/>
          <w:color w:val="auto"/>
        </w:rPr>
        <w:t xml:space="preserve">. The Borrowers will, and will cause each of their Restricted Subsidiaries to, keep proper books of record and accounts in which full, true and correct entries in conformity with GAAP and all Requirements of Law are made of all dealings and transactions in relation to their business and activities. The Borrowers will, and will cause each of their Restricted Subsidiaries to, permit any representatives designated by the Administrative Agent or any Lender, upon reasonable prior notice, to visit and inspect their properties, to examine and make extracts from their books and records, and to discuss their affairs, finances and condition with their officers and independent accountants, all at such reasonable times during normal business hours upon reasonable prior notice to the Borrowers, but, unless an Event of Default has occurred and is continuing, no more often than two times during any calendar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Borrowers or any Restricted Subsidiary will be required to disclose, permit the inspection, examination or making copies or abstracts of,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Requirement of Law or any binding agreement or (iii) that is subject to attorney-client or similar privilege or constitutes attorney work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28" w:right="339" w:bottom="1440" w:gutter="0" w:footer="0" w:header="0"/>
        </w:sectPr>
      </w:pPr>
    </w:p>
    <w:bookmarkStart w:id="192" w:name="page193"/>
    <w:bookmarkEnd w:id="192"/>
    <w:p>
      <w:pPr>
        <w:jc w:val="both"/>
        <w:ind w:firstLine="648"/>
        <w:spacing w:after="0" w:line="261" w:lineRule="auto"/>
        <w:rPr>
          <w:sz w:val="20"/>
          <w:szCs w:val="20"/>
          <w:color w:val="auto"/>
        </w:rPr>
      </w:pPr>
      <w:r>
        <w:rPr>
          <w:rFonts w:ascii="Arial" w:cs="Arial" w:eastAsia="Arial" w:hAnsi="Arial"/>
          <w:sz w:val="21"/>
          <w:szCs w:val="21"/>
          <w:color w:val="auto"/>
        </w:rPr>
        <w:t xml:space="preserve">SECTION 5.10.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The Borrowers will, and will cause each of their Restricted Subsidiaries to, comply with all Requirements of Law (including Environmental Laws) with respect to them or their property, except where the failure to do so, individually or in the aggregate, would not reasonably be expected to result in a Material Adverse Effect. The Borrowers will maintain in effect and enforce policies and procedures designed to ensure compliance by the Borrowers, their Subsidiaries and their respective directors, officers, employees and agents (in each case, in their capacity related to the Borrowers or their Subsidiaries) with Anti-Corruption Laws and applicable Sanctions.</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Use of Proceeds and Letters of Credit</w:t>
      </w:r>
      <w:r>
        <w:rPr>
          <w:rFonts w:ascii="Arial" w:cs="Arial" w:eastAsia="Arial" w:hAnsi="Arial"/>
          <w:sz w:val="22"/>
          <w:szCs w:val="22"/>
          <w:color w:val="auto"/>
        </w:rPr>
        <w:t>. The proceeds of the Revolving Loans will be used by the Borrowers and the Restricted Subsidiaries for working capital, refinancing existing debt and general corporate purposes (including consummating the Transactions and paying Transaction Costs). Letters of Credit will be used by the Borrowers and the Restricted Subsidiaries for general corporate purposes, including to replace or provide credit support for any Existing Letters of Credit as of the Effective Date.</w:t>
      </w:r>
    </w:p>
    <w:p>
      <w:pPr>
        <w:spacing w:after="0" w:line="19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u w:val="single" w:color="auto"/>
          <w:color w:val="auto"/>
        </w:rPr>
        <w:t>Additional Subsidiaries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94" w:lineRule="auto"/>
        <w:tabs>
          <w:tab w:leader="none" w:pos="111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If any additional Subsidiary is formed or acquired (or otherwise becomes a Guarantor Subsidiary) after the Effective Date, then the Borrowers will, as promptly as practicable and, in any event, within 30 days (or such longer period as the Administrative Agent, acting reasonably, may agree to in writing (including electronic mail)) after such Subsidiary is formed or acquired (or otherwise becomes a Guarantor Subsidiary), notify the Administrative Agent thereof and, to the extent applicable, cause the Collateral and Guarantee Requirement to be satisfied with respect to such Guarantor Subsidiary and with respect to any Equity Interest in or Indebtedness of such Guarantor Subsidiary owned by or on behalf of any Loan Party.</w:t>
      </w:r>
    </w:p>
    <w:p>
      <w:pPr>
        <w:spacing w:after="0" w:line="149" w:lineRule="exact"/>
        <w:rPr>
          <w:rFonts w:ascii="Arial" w:cs="Arial" w:eastAsia="Arial" w:hAnsi="Arial"/>
          <w:sz w:val="19"/>
          <w:szCs w:val="19"/>
          <w:color w:val="auto"/>
        </w:rPr>
      </w:pPr>
    </w:p>
    <w:p>
      <w:pPr>
        <w:jc w:val="both"/>
        <w:ind w:firstLine="656"/>
        <w:spacing w:after="0" w:line="250" w:lineRule="auto"/>
        <w:tabs>
          <w:tab w:leader="none" w:pos="124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The Borrowers may at any time designate any wholly-owned Restricted Subsidiary as a Guarantor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Borrowers will cause the Collateral and Guarantee Requirement to be satisfied with respect to such Restricted Subsidiary within the time period and to the extent set forth in </w:t>
      </w:r>
      <w:r>
        <w:rPr>
          <w:rFonts w:ascii="Arial" w:cs="Arial" w:eastAsia="Arial" w:hAnsi="Arial"/>
          <w:sz w:val="22"/>
          <w:szCs w:val="22"/>
          <w:u w:val="single" w:color="auto"/>
          <w:color w:val="auto"/>
        </w:rPr>
        <w:t>Section 5.12(a)</w:t>
      </w:r>
      <w:r>
        <w:rPr>
          <w:rFonts w:ascii="Arial" w:cs="Arial" w:eastAsia="Arial" w:hAnsi="Arial"/>
          <w:sz w:val="22"/>
          <w:szCs w:val="22"/>
          <w:color w:val="auto"/>
        </w:rPr>
        <w:t xml:space="preserve"> as if such Restricted Subsidiary is a Person that became a Guarantor Subsidiary after the Effective Date.</w:t>
      </w:r>
    </w:p>
    <w:p>
      <w:pPr>
        <w:spacing w:after="0" w:line="187" w:lineRule="exact"/>
        <w:rPr>
          <w:rFonts w:ascii="Arial" w:cs="Arial" w:eastAsia="Arial" w:hAnsi="Arial"/>
          <w:sz w:val="22"/>
          <w:szCs w:val="22"/>
          <w:color w:val="auto"/>
        </w:rPr>
      </w:pPr>
    </w:p>
    <w:p>
      <w:pPr>
        <w:jc w:val="both"/>
        <w:ind w:firstLine="656"/>
        <w:spacing w:after="0" w:line="294" w:lineRule="auto"/>
        <w:tabs>
          <w:tab w:leader="none" w:pos="117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in any other Loan Document, to the extent that any Restricted Subsidiary formed or acquired (or that otherwise becomes a Guarantor Subsidiary) after the Effective Date would not be permitted to Guarantee the Senior Unsecured Notes, or any Refinancing Indebtedness in respect thereof, under applicable law, then such Restricted Subsidiary shall be deemed not to be a Guarantor Subsidiary for purposes hereof and will not enter into the New York-Law Guarantee or New York-Law Security Agreement, provide any Guarantee of the Obligations or enter into any other Security Document granting a Lien on any of such Restricted Subsidiary’s assets, in each case while such prohibition exists.</w:t>
      </w:r>
    </w:p>
    <w:p>
      <w:pPr>
        <w:spacing w:after="0" w:line="149"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28" w:right="339" w:bottom="1440" w:gutter="0" w:footer="0" w:header="0"/>
        </w:sectPr>
      </w:pPr>
    </w:p>
    <w:bookmarkStart w:id="193" w:name="page194"/>
    <w:bookmarkEnd w:id="193"/>
    <w:p>
      <w:pPr>
        <w:jc w:val="both"/>
        <w:ind w:firstLine="656"/>
        <w:spacing w:after="0" w:line="246" w:lineRule="auto"/>
        <w:tabs>
          <w:tab w:leader="none" w:pos="11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Borrowers will, and will cause each of their Subsidiaries that is a Guarantor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may reasonably request, to cause the Collateral and Guarantee Requirement to be and remain satisfied, all at the expense of the Loan Parties. The Borrowers also agree to, and shall cause each of their Subsidiaries that is a Guarantor to, provide to the Administrative Agent, from time to time upon request, evidence reasonably satisfactory to the Administrative Agent as to the perfection and priority of the Liens created or intended to be created by the Security Documents.</w:t>
      </w:r>
    </w:p>
    <w:p>
      <w:pPr>
        <w:spacing w:after="0" w:line="193" w:lineRule="exact"/>
        <w:rPr>
          <w:rFonts w:ascii="Arial" w:cs="Arial" w:eastAsia="Arial" w:hAnsi="Arial"/>
          <w:sz w:val="22"/>
          <w:szCs w:val="22"/>
          <w:color w:val="auto"/>
        </w:rPr>
      </w:pPr>
    </w:p>
    <w:p>
      <w:pPr>
        <w:ind w:left="1120" w:hanging="464"/>
        <w:spacing w:after="0"/>
        <w:tabs>
          <w:tab w:leader="none" w:pos="112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56"/>
        <w:spacing w:after="0" w:line="294" w:lineRule="auto"/>
        <w:tabs>
          <w:tab w:leader="none" w:pos="11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after the Effective Date, any Loan Party acquires any Material Real Property or any real property owned by any Loan Party becomes Material Real Property, then such Loan Party shall promptly notify the Administrative Agent, and shall, within (60) days of such acquisition (or such later date as the Administrative Agent may agree in its reasonable discretion), cause such Material Real Property to be subjected to a Lien securing the Obligations and will take such actions as shall be reasonably necessary or reasonably requested by the Administrative Agent to grant and perfect or record such Lien, including the actions described in clause (e) of the definition of “Collateral and Guarantee Requirement”.</w:t>
      </w:r>
    </w:p>
    <w:p>
      <w:pPr>
        <w:spacing w:after="0" w:line="149" w:lineRule="exact"/>
        <w:rPr>
          <w:rFonts w:ascii="Arial" w:cs="Arial" w:eastAsia="Arial" w:hAnsi="Arial"/>
          <w:sz w:val="19"/>
          <w:szCs w:val="19"/>
          <w:color w:val="auto"/>
        </w:rPr>
      </w:pPr>
    </w:p>
    <w:p>
      <w:pPr>
        <w:jc w:val="both"/>
        <w:ind w:firstLine="656"/>
        <w:spacing w:after="0" w:line="261" w:lineRule="auto"/>
        <w:tabs>
          <w:tab w:leader="none" w:pos="1153" w:val="left"/>
        </w:tabs>
        <w:numPr>
          <w:ilvl w:val="0"/>
          <w:numId w:val="143"/>
        </w:numPr>
        <w:rPr>
          <w:rFonts w:ascii="Arial" w:cs="Arial" w:eastAsia="Arial" w:hAnsi="Arial"/>
          <w:sz w:val="21"/>
          <w:szCs w:val="21"/>
          <w:color w:val="auto"/>
        </w:rPr>
      </w:pPr>
      <w:r>
        <w:rPr>
          <w:rFonts w:ascii="Arial" w:cs="Arial" w:eastAsia="Arial" w:hAnsi="Arial"/>
          <w:sz w:val="21"/>
          <w:szCs w:val="21"/>
          <w:color w:val="auto"/>
        </w:rPr>
        <w:t>If, after the Effective Date, (i) any Vessel is constructed or acquired by any Loan Party and/or (ii) the granting of a Lien on any Vessel that is not already a Collateral Vessel is not prohibited by any financing arrangements with respect to such Vessel, the Company will promptly notify the Administrative Agent, and the Company will cause such Vessel to be subjected to a Lien securing the Obligations and will take, and cause the Guarantors to take, such actions as shall be necessary or reasonably requested by the Administrative Agent to grant and perfect such Lien, including the actions described in clause (f) of the definition of “Collateral and Guarantee Requirement”.</w:t>
      </w:r>
    </w:p>
    <w:p>
      <w:pPr>
        <w:spacing w:after="0" w:line="179" w:lineRule="exact"/>
        <w:rPr>
          <w:rFonts w:ascii="Arial" w:cs="Arial" w:eastAsia="Arial" w:hAnsi="Arial"/>
          <w:sz w:val="21"/>
          <w:szCs w:val="21"/>
          <w:color w:val="auto"/>
        </w:rPr>
      </w:pPr>
    </w:p>
    <w:p>
      <w:pPr>
        <w:jc w:val="both"/>
        <w:ind w:firstLine="656"/>
        <w:spacing w:after="0" w:line="292" w:lineRule="auto"/>
        <w:tabs>
          <w:tab w:leader="none" w:pos="123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If, after the Effective Date, any Loan Party acquires any intellectual property consisting of a registered patent, trademark or copyright, any application for registration thereof, or any exclusive license to any registered U.S. copyright, then such Loan Party shall notify the Administrative Agent of such acquisition concurrently with the delivery of the next Financial Officer certificate required to be provided to the Administrative Agent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and concurrently with the delivery of such notice, shall cause such intellectual property to be subjected to a Lien securing the Obligations and shall take such actions as shall be reasonably necessary or reasonably requested by the Administrative Agent to grant and perfect or record such Lien, including the actions described in clause (d) of the definition of “Collateral and Guarantee Requirement”.</w:t>
      </w:r>
    </w:p>
    <w:p>
      <w:pPr>
        <w:spacing w:after="0" w:line="150" w:lineRule="exact"/>
        <w:rPr>
          <w:rFonts w:ascii="Arial" w:cs="Arial" w:eastAsia="Arial" w:hAnsi="Arial"/>
          <w:sz w:val="19"/>
          <w:szCs w:val="19"/>
          <w:color w:val="auto"/>
        </w:rPr>
      </w:pPr>
    </w:p>
    <w:p>
      <w:pPr>
        <w:jc w:val="both"/>
        <w:ind w:firstLine="656"/>
        <w:spacing w:after="0" w:line="312" w:lineRule="auto"/>
        <w:tabs>
          <w:tab w:leader="none" w:pos="114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any other asset that has an individual book value in excess of $20,000,000 is acquired by the Borrowers or any Guarantor after the Effective Date (other than any asset constituting Collateral under any Security Document that becomes subject to the Lien created by such Security Document upon acquisition thereof), the Borrowers will notify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28" w:right="339" w:bottom="1440" w:gutter="0" w:footer="0" w:header="0"/>
        </w:sectPr>
      </w:pPr>
    </w:p>
    <w:bookmarkStart w:id="194" w:name="page195"/>
    <w:bookmarkEnd w:id="194"/>
    <w:p>
      <w:pPr>
        <w:jc w:val="both"/>
        <w:spacing w:after="0" w:line="250" w:lineRule="auto"/>
        <w:rPr>
          <w:sz w:val="20"/>
          <w:szCs w:val="20"/>
          <w:color w:val="auto"/>
        </w:rPr>
      </w:pPr>
      <w:r>
        <w:rPr>
          <w:rFonts w:ascii="Arial" w:cs="Arial" w:eastAsia="Arial" w:hAnsi="Arial"/>
          <w:sz w:val="22"/>
          <w:szCs w:val="22"/>
          <w:color w:val="auto"/>
        </w:rPr>
        <w:t xml:space="preserve">Agent, and, if requested by the Administrative Agent, the Borrowers will cause such assets to be subjected to a Lien securing the Obligations and will take, and cause the Guarantors to take, such actions as shall be necessary or reasonably requested by the Administrative Agent to grant and perfect such Liens, including the actions described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of this Section, all at the expense of the Loan Parties.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Vessel Appraisals</w:t>
      </w:r>
      <w:r>
        <w:rPr>
          <w:rFonts w:ascii="Arial" w:cs="Arial" w:eastAsia="Arial" w:hAnsi="Arial"/>
          <w:sz w:val="21"/>
          <w:szCs w:val="21"/>
          <w:color w:val="auto"/>
        </w:rPr>
        <w:t xml:space="preserve">. Upon the Administrative Agent’s reasonable request, the Borrowers will, or will cause any Loan Party that is the owner of a Collateral Vessel to, obtain a valuation report (or updated valuation report) for each Collateral Vessel owned by it, in each case in form and substance consistent with those appraisals provided on or prior to the Effective Date for the Collateral Vessels and prepared by a reputable valuer;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more than one such valuation report per Collateral Vessel shall be required to be delivered per year.</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Post-Effective Date Matters</w:t>
      </w:r>
      <w:r>
        <w:rPr>
          <w:rFonts w:ascii="Arial" w:cs="Arial" w:eastAsia="Arial" w:hAnsi="Arial"/>
          <w:sz w:val="19"/>
          <w:szCs w:val="19"/>
          <w:color w:val="auto"/>
        </w:rPr>
        <w:t xml:space="preserve">. To the extent that any of the following obligations, documents and/or security interests cannot be performed, provided, delivered or perfected on the Effective Date (except with respect to assets for which a Lien may be perfected by the filing of a financing statement under the Uniform Commercial Code) after the Borrowers’ or the relevant Loan Party’s use of commercially reasonable efforts to do so, the Borrowers shall comply, and shall cause each of the Loan Parties to comply, with each of the following obligations and/or deliver to the Administrative Agent each of the following documents, instruments, agreements and information, in each case, in form and substance satisfactory to the Administrative Agent, on or before the date set forth for each such item below (unless waived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51" w:lineRule="exact"/>
        <w:rPr>
          <w:sz w:val="20"/>
          <w:szCs w:val="20"/>
          <w:color w:val="auto"/>
        </w:rPr>
      </w:pPr>
    </w:p>
    <w:p>
      <w:pPr>
        <w:jc w:val="both"/>
        <w:ind w:firstLine="656"/>
        <w:spacing w:after="0" w:line="253" w:lineRule="auto"/>
        <w:tabs>
          <w:tab w:leader="none" w:pos="117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Within 30 days of the Effective Date (or such longer period of time as the Administrative Agent may reasonably agree in its sole discretion), the Administrative Agent shall have received the certificates of insurance and related endorsements required by </w:t>
      </w:r>
      <w:r>
        <w:rPr>
          <w:rFonts w:ascii="Arial" w:cs="Arial" w:eastAsia="Arial" w:hAnsi="Arial"/>
          <w:sz w:val="22"/>
          <w:szCs w:val="22"/>
          <w:u w:val="single" w:color="auto"/>
          <w:color w:val="auto"/>
        </w:rPr>
        <w:t>Section 5.07</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92" w:lineRule="auto"/>
        <w:tabs>
          <w:tab w:leader="none" w:pos="118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Within 60 days of the Effective Date (or such longer period of time as the Administrative Agent may reasonably agree in its sole discretion), and subject to </w:t>
      </w:r>
      <w:r>
        <w:rPr>
          <w:rFonts w:ascii="Arial" w:cs="Arial" w:eastAsia="Arial" w:hAnsi="Arial"/>
          <w:sz w:val="19"/>
          <w:szCs w:val="19"/>
          <w:u w:val="single" w:color="auto"/>
          <w:color w:val="auto"/>
        </w:rPr>
        <w:t>Section 5.15(c)</w:t>
      </w:r>
      <w:r>
        <w:rPr>
          <w:rFonts w:ascii="Arial" w:cs="Arial" w:eastAsia="Arial" w:hAnsi="Arial"/>
          <w:sz w:val="19"/>
          <w:szCs w:val="19"/>
          <w:color w:val="auto"/>
        </w:rPr>
        <w:t>, the Administrative Agent, on behalf of the Secured Parties, shall have received from each Loan Party organized or incorporated in a non-U.S. Collateral Jurisdiction, executed copies of, or counterparts or supplements to, (i) the New York-Law Pledge Agreement, to the extent applicable, or (ii) any other Security Documents required to create valid and perfected Liens over all Collateral over which a perfected Lien was not established as of the Effective Date, together with such opinions, certificates, and other documentation as may be required by the Administrative Agent so as to cause the Collateral and Guarantee Requirement to be and remain satisfied.</w:t>
      </w:r>
    </w:p>
    <w:p>
      <w:pPr>
        <w:spacing w:after="0" w:line="150" w:lineRule="exact"/>
        <w:rPr>
          <w:rFonts w:ascii="Arial" w:cs="Arial" w:eastAsia="Arial" w:hAnsi="Arial"/>
          <w:sz w:val="19"/>
          <w:szCs w:val="19"/>
          <w:color w:val="auto"/>
        </w:rPr>
      </w:pPr>
    </w:p>
    <w:p>
      <w:pPr>
        <w:jc w:val="both"/>
        <w:ind w:firstLine="656"/>
        <w:spacing w:after="0" w:line="271" w:lineRule="auto"/>
        <w:tabs>
          <w:tab w:leader="none" w:pos="117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Within 90 days of the Effective Date (or such longer period of time as the Administrative Agent may reasonably agree in its sole discretion), the Administrative Agent shall have received the Real Property Mortgages and such other documents as required pursuant to clause (e) of the definition of “Collateral and Guarantee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28" w:right="339" w:bottom="1440" w:gutter="0" w:footer="0" w:header="0"/>
        </w:sectPr>
      </w:pPr>
    </w:p>
    <w:bookmarkStart w:id="195" w:name="page196"/>
    <w:bookmarkEnd w:id="195"/>
    <w:p>
      <w:pPr>
        <w:jc w:val="both"/>
        <w:ind w:firstLine="648"/>
        <w:spacing w:after="0" w:line="288"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Designation of Subsidiaries</w:t>
      </w:r>
      <w:r>
        <w:rPr>
          <w:rFonts w:ascii="Arial" w:cs="Arial" w:eastAsia="Arial" w:hAnsi="Arial"/>
          <w:sz w:val="19"/>
          <w:szCs w:val="19"/>
          <w:color w:val="auto"/>
        </w:rPr>
        <w:t xml:space="preserve">. The Borrowers may at any time designate any Restricted Subsidiary as an Unrestricted Subsidiary or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immediately before and after such designation, (i) no Default or Event of Default shall have occurred and be continuing or would result from such designation,</w:t>
      </w:r>
    </w:p>
    <w:p>
      <w:pPr>
        <w:spacing w:after="0" w:line="1" w:lineRule="exact"/>
        <w:rPr>
          <w:sz w:val="20"/>
          <w:szCs w:val="20"/>
          <w:color w:val="auto"/>
        </w:rPr>
      </w:pPr>
    </w:p>
    <w:p>
      <w:pPr>
        <w:jc w:val="both"/>
        <w:ind w:firstLine="8"/>
        <w:spacing w:after="0" w:line="284" w:lineRule="auto"/>
        <w:tabs>
          <w:tab w:leader="none" w:pos="34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the Company shall be in compliance with the Financial Covenants on a Pro Forma Basis and (iii) the representations and warranties of each Loan Party set forth in the Loan Documents shall be true and correct in all material respects (or, in the case of representations and warranties qualified as to materiality, in all respects) on and as of the date of such designation, except in the case of any such representation and warranty that expressly relates to a prior date, in which case such representation and warranty shall be true and correct in all material respects (or in all respects, as applicable) as of such earlier date, and (b) no Subsidiary may be designated as an Unrestricted Subsidiary if it is a “restricted subsidiary” or a “guarantor” (or any similar designation) for any Material Indebtedness. The designation of any Subsidiary as an Unrestricted Subsidiary shall constitute an Investment by the parent company of such Subsidiary therein under </w:t>
      </w:r>
      <w:r>
        <w:rPr>
          <w:rFonts w:ascii="Arial" w:cs="Arial" w:eastAsia="Arial" w:hAnsi="Arial"/>
          <w:sz w:val="19"/>
          <w:szCs w:val="19"/>
          <w:u w:val="single" w:color="auto"/>
          <w:color w:val="auto"/>
        </w:rPr>
        <w:t>Section 6.04(u)</w:t>
      </w:r>
      <w:r>
        <w:rPr>
          <w:rFonts w:ascii="Arial" w:cs="Arial" w:eastAsia="Arial" w:hAnsi="Arial"/>
          <w:sz w:val="19"/>
          <w:szCs w:val="19"/>
          <w:color w:val="auto"/>
        </w:rPr>
        <w:t xml:space="preserve"> at the date of designation in an amount equal to the net book value of such parent company’s investment therein. The designation of any Unrestricted Subsidiary as a Restricted Subsidiary shall constitute the incurrence at the time of designation of any Indebtedness or Liens of such Subsidiary, and the making of an Investment by such Subsidiary in any Investments of such Subsidiary, in each case existing at such time. Within 10 days (or such shorter period of time as the Administrative Agent may reasonably agree to in writing) following any designation described above, the Company will deliver to the Administrative Agent a notice of such designation accompanied by a certificate signed by a Responsible Officer certifying compliance with all requirements of this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and setting forth all information required in order to establish such compliance.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Until the Commitments shall have expired or been terminated and the principal of and interest on each Loan and all fees, expenses, other amounts (other than contingent amounts not yet due) payable under this Agreement or any other Loan Document and the other Loan Document Obligations have been paid in full, and all Letters of Credit (other than those collateralized or back-stopped on terms reasonably satisfactory to the applicable Issuing Bank) have expired or been terminated and all LC Disbursements shall have been reimbursed, the Borrowers covenant and agree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to the contrary set forth in this Agreement or any other Loan Document, no provision of this Agreement or any other Loan Document shall prevent or restrict the consummation of any of the Transactions, nor shall the Transactions give rise to any Default, or constitute the utilization of any basket, under this Agreement (including this </w:t>
      </w:r>
      <w:r>
        <w:rPr>
          <w:rFonts w:ascii="Arial" w:cs="Arial" w:eastAsia="Arial" w:hAnsi="Arial"/>
          <w:sz w:val="21"/>
          <w:szCs w:val="21"/>
          <w:u w:val="single" w:color="auto"/>
          <w:color w:val="auto"/>
        </w:rPr>
        <w:t>Article VI</w:t>
      </w:r>
      <w:r>
        <w:rPr>
          <w:rFonts w:ascii="Arial" w:cs="Arial" w:eastAsia="Arial" w:hAnsi="Arial"/>
          <w:sz w:val="21"/>
          <w:szCs w:val="21"/>
          <w:color w:val="auto"/>
        </w:rPr>
        <w:t>) or any other Loan Document) with the Lenders that:</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Borrowers will not, nor will they permit any of their Restricted Subsidiaries to, create, incur, assume or permit to exist any Indebtedness, except:</w:t>
      </w:r>
    </w:p>
    <w:p>
      <w:pPr>
        <w:spacing w:after="0" w:line="175" w:lineRule="exact"/>
        <w:rPr>
          <w:sz w:val="20"/>
          <w:szCs w:val="20"/>
          <w:color w:val="auto"/>
        </w:rPr>
      </w:pPr>
    </w:p>
    <w:p>
      <w:pPr>
        <w:ind w:left="1120" w:hanging="464"/>
        <w:spacing w:after="0"/>
        <w:tabs>
          <w:tab w:leader="none" w:pos="11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Indebtedness created hereunder and under the other Loan Documents;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5460"/>
        <w:spacing w:after="0"/>
        <w:rPr>
          <w:rFonts w:ascii="Arial" w:cs="Arial" w:eastAsia="Arial" w:hAnsi="Arial"/>
          <w:sz w:val="22"/>
          <w:szCs w:val="22"/>
          <w:color w:val="auto"/>
        </w:rPr>
      </w:pPr>
      <w:r>
        <w:rPr>
          <w:rFonts w:ascii="Arial" w:cs="Arial" w:eastAsia="Arial" w:hAnsi="Arial"/>
          <w:sz w:val="22"/>
          <w:szCs w:val="22"/>
          <w:color w:val="auto"/>
        </w:rPr>
        <w:t>119</w:t>
      </w:r>
    </w:p>
    <w:p>
      <w:pPr>
        <w:sectPr>
          <w:pgSz w:w="11900" w:h="16838" w:orient="portrait"/>
          <w:cols w:equalWidth="0" w:num="1">
            <w:col w:w="11240"/>
          </w:cols>
          <w:pgMar w:left="320" w:top="1428" w:right="339" w:bottom="1440" w:gutter="0" w:footer="0" w:header="0"/>
        </w:sectPr>
      </w:pPr>
    </w:p>
    <w:bookmarkStart w:id="196" w:name="page197"/>
    <w:bookmarkEnd w:id="196"/>
    <w:p>
      <w:pPr>
        <w:jc w:val="both"/>
        <w:ind w:firstLine="656"/>
        <w:spacing w:after="0" w:line="258" w:lineRule="auto"/>
        <w:tabs>
          <w:tab w:leader="none" w:pos="1143"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 the Senior Unsecured Notes in an aggregate principal amount not to exceed $1,000,000,000 and (ii) Refinancing Indebtedness in respect of the Senior Unsecured Notes issued pursuant to clause (i) above (it being understood and agreed that, for purposes of this Section, any Indebtedness that is incurred for the purpose of repurchasing or redeeming any Senior Unsecured Notes (or any Refinancing Indebtedness in respect thereof) shall, if otherwise meeting the requirements set forth in the definition of the term “Refinancing Indebtedness,” be deemed to be Refinancing Indebtedness in respect of the Senior Unsecured Notes (or such Refinancing Indebtedness), and shall be permitted to be incurred and be in existence, notwithstanding that the proceeds of such Refinancing Indebtedness shall not be applied to make such repurchase or redemption of the Senior Unsecured Notes (or such Refinancing Indebtedness) immediately upon the incurrence thereof, if the proceeds of such Refinancing Indebtedness are applied to make such repurchase or redemption no later than 90 days following the date of the incurrence thereof);</w:t>
      </w:r>
    </w:p>
    <w:p>
      <w:pPr>
        <w:spacing w:after="0" w:line="185" w:lineRule="exact"/>
        <w:rPr>
          <w:rFonts w:ascii="Arial" w:cs="Arial" w:eastAsia="Arial" w:hAnsi="Arial"/>
          <w:sz w:val="21"/>
          <w:szCs w:val="21"/>
          <w:color w:val="auto"/>
        </w:rPr>
      </w:pPr>
    </w:p>
    <w:p>
      <w:pPr>
        <w:ind w:firstLine="656"/>
        <w:spacing w:after="0" w:line="263" w:lineRule="auto"/>
        <w:tabs>
          <w:tab w:leader="none" w:pos="113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Indebtedness existing on the Effective Date and set forth in </w:t>
      </w:r>
      <w:r>
        <w:rPr>
          <w:rFonts w:ascii="Arial" w:cs="Arial" w:eastAsia="Arial" w:hAnsi="Arial"/>
          <w:sz w:val="22"/>
          <w:szCs w:val="22"/>
          <w:u w:val="single" w:color="auto"/>
          <w:color w:val="auto"/>
        </w:rPr>
        <w:t>Schedule 6.01</w:t>
      </w:r>
      <w:r>
        <w:rPr>
          <w:rFonts w:ascii="Arial" w:cs="Arial" w:eastAsia="Arial" w:hAnsi="Arial"/>
          <w:sz w:val="22"/>
          <w:szCs w:val="22"/>
          <w:color w:val="auto"/>
        </w:rPr>
        <w:t xml:space="preserve"> and, except with respect to any letters of credit included on </w:t>
      </w:r>
      <w:r>
        <w:rPr>
          <w:rFonts w:ascii="Arial" w:cs="Arial" w:eastAsia="Arial" w:hAnsi="Arial"/>
          <w:sz w:val="22"/>
          <w:szCs w:val="22"/>
          <w:u w:val="single" w:color="auto"/>
          <w:color w:val="auto"/>
        </w:rPr>
        <w:t>Schedule 6.01</w:t>
      </w:r>
      <w:r>
        <w:rPr>
          <w:rFonts w:ascii="Arial" w:cs="Arial" w:eastAsia="Arial" w:hAnsi="Arial"/>
          <w:sz w:val="22"/>
          <w:szCs w:val="22"/>
          <w:color w:val="auto"/>
        </w:rPr>
        <w:t>, any Refinancing Indebtedness in respect thereof;</w:t>
      </w:r>
    </w:p>
    <w:p>
      <w:pPr>
        <w:spacing w:after="0" w:line="174" w:lineRule="exact"/>
        <w:rPr>
          <w:rFonts w:ascii="Arial" w:cs="Arial" w:eastAsia="Arial" w:hAnsi="Arial"/>
          <w:sz w:val="22"/>
          <w:szCs w:val="22"/>
          <w:color w:val="auto"/>
        </w:rPr>
      </w:pPr>
    </w:p>
    <w:p>
      <w:pPr>
        <w:jc w:val="both"/>
        <w:ind w:firstLine="656"/>
        <w:spacing w:after="0" w:line="302" w:lineRule="auto"/>
        <w:tabs>
          <w:tab w:leader="none" w:pos="118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Indebtedness of the Borrowers to any Restricted Subsidiary and of any Restricted Subsidiary to the Borrowers or any 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Indebtedness of any Subsidiary that is not a Loan Party to the Borrowers or any Guarantor shall be subject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and (ii) Indebtedness of the Borrowers or any Guarantor to any Restricted Subsidiary that is not a Guarantor shall be subordinated to the Obligations on terms reasonably acceptable to the Administrative Agent;</w:t>
      </w:r>
    </w:p>
    <w:p>
      <w:pPr>
        <w:spacing w:after="0" w:line="142" w:lineRule="exact"/>
        <w:rPr>
          <w:rFonts w:ascii="Arial" w:cs="Arial" w:eastAsia="Arial" w:hAnsi="Arial"/>
          <w:sz w:val="19"/>
          <w:szCs w:val="19"/>
          <w:color w:val="auto"/>
        </w:rPr>
      </w:pPr>
    </w:p>
    <w:p>
      <w:pPr>
        <w:jc w:val="both"/>
        <w:ind w:firstLine="656"/>
        <w:spacing w:after="0" w:line="292" w:lineRule="auto"/>
        <w:tabs>
          <w:tab w:leader="none" w:pos="121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Guarantees by the Borrowers of Indebtedness of any Restricted Subsidiary and by any Restricted Subsidiary of Indebtedness of the Borrowers or any 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Indebtedness so Guaranteed is permitted by this Section (other than clause (c) or (g), (ii) Guarantees by the Borrowers or any Guarantor of Indebtedness of any Subsidiary that is not a Loan Party shall be subject to </w:t>
      </w:r>
      <w:r>
        <w:rPr>
          <w:rFonts w:ascii="Arial" w:cs="Arial" w:eastAsia="Arial" w:hAnsi="Arial"/>
          <w:sz w:val="19"/>
          <w:szCs w:val="19"/>
          <w:u w:val="single" w:color="auto"/>
          <w:color w:val="auto"/>
        </w:rPr>
        <w:t>Section 6.04</w:t>
      </w:r>
      <w:r>
        <w:rPr>
          <w:rFonts w:ascii="Arial" w:cs="Arial" w:eastAsia="Arial" w:hAnsi="Arial"/>
          <w:sz w:val="19"/>
          <w:szCs w:val="19"/>
          <w:color w:val="auto"/>
        </w:rPr>
        <w:t>, (iii) if the Indebtedness so Guaranteed is subordinated to the Obligations, Guarantees permitted under this clause (e) shall be subordinated to the Obligations to the same extent and on the same terms as the Indebtedness so Guaranteed is subordinated to the Obligations and (iv) none of the Senior Unsecured Notes shall be Guaranteed by any Restricted Subsidiary unless such Restricted Subsidiary is a Guarantor;</w:t>
      </w:r>
    </w:p>
    <w:p>
      <w:pPr>
        <w:spacing w:after="0" w:line="150" w:lineRule="exact"/>
        <w:rPr>
          <w:rFonts w:ascii="Arial" w:cs="Arial" w:eastAsia="Arial" w:hAnsi="Arial"/>
          <w:sz w:val="19"/>
          <w:szCs w:val="19"/>
          <w:color w:val="auto"/>
        </w:rPr>
      </w:pPr>
    </w:p>
    <w:p>
      <w:pPr>
        <w:jc w:val="both"/>
        <w:ind w:firstLine="656"/>
        <w:spacing w:after="0" w:line="259" w:lineRule="auto"/>
        <w:tabs>
          <w:tab w:leader="none" w:pos="1191"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(i) Indebtedness of the Borrowers or any Restricted Subsidiary incurred to finance the acquisition, construction, repair, replacement or improvement of any fixed or capital assets, including Capital Lease Obligations and any Indebtedness assumed by the Borrowers or any Restricted Subsidiary in connection with the acquisition of any such assets or secured by a Lien on any such assets prior to the acquisition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Indebtedness is incurred prior to or within 270 days after such acquisition or the completion of such construction, repair, replacement or improvement, and (ii) Refinancing Indebtedness in respect of Indebtedness incurred or assumed pursuant to clause (i)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at the time of incurrence thereof, the aggregate principal amount of Indebtedness incurred pursuant to this clause (f), together with any sale and leaseback transaction incurred pursuant to </w:t>
      </w:r>
      <w:r>
        <w:rPr>
          <w:rFonts w:ascii="Arial" w:cs="Arial" w:eastAsia="Arial" w:hAnsi="Arial"/>
          <w:sz w:val="21"/>
          <w:szCs w:val="21"/>
          <w:u w:val="single" w:color="auto"/>
          <w:color w:val="auto"/>
        </w:rPr>
        <w:t>Section 6.06</w:t>
      </w:r>
      <w:r>
        <w:rPr>
          <w:rFonts w:ascii="Arial" w:cs="Arial" w:eastAsia="Arial" w:hAnsi="Arial"/>
          <w:sz w:val="21"/>
          <w:szCs w:val="21"/>
          <w:color w:val="auto"/>
        </w:rPr>
        <w: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28" w:right="339" w:bottom="1440" w:gutter="0" w:footer="0" w:header="0"/>
        </w:sectPr>
      </w:pPr>
    </w:p>
    <w:bookmarkStart w:id="197" w:name="page198"/>
    <w:bookmarkEnd w:id="197"/>
    <w:p>
      <w:pPr>
        <w:spacing w:after="0"/>
        <w:rPr>
          <w:sz w:val="20"/>
          <w:szCs w:val="20"/>
          <w:color w:val="auto"/>
        </w:rPr>
      </w:pPr>
      <w:r>
        <w:rPr>
          <w:rFonts w:ascii="Arial" w:cs="Arial" w:eastAsia="Arial" w:hAnsi="Arial"/>
          <w:sz w:val="21"/>
          <w:szCs w:val="21"/>
          <w:color w:val="auto"/>
        </w:rPr>
        <w:t>exceed the greater of (x) $150,000,000 and (y) 1.50% of Consolidated Total Assets determined at the time of incurrence;</w:t>
      </w:r>
    </w:p>
    <w:p>
      <w:pPr>
        <w:spacing w:after="0" w:line="231" w:lineRule="exact"/>
        <w:rPr>
          <w:sz w:val="20"/>
          <w:szCs w:val="20"/>
          <w:color w:val="auto"/>
        </w:rPr>
      </w:pPr>
    </w:p>
    <w:p>
      <w:pPr>
        <w:jc w:val="both"/>
        <w:ind w:firstLine="656"/>
        <w:spacing w:after="0" w:line="289" w:lineRule="auto"/>
        <w:tabs>
          <w:tab w:leader="none" w:pos="1175"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(i) Indebtedness of any Person that becomes a Restricted Subsidiary (or of any Person not previously a Restricted Subsidiary that is merged or consolidated with or into the Borrowers or a Restricted Subsidiary in a transaction permitted hereunder) after the Effective Date, or Indebtedness of any Person that is assumed by the Borrowers or any Restricted Subsidiary in connection with an acquisition of assets by the Borrowers or such Restricted Subsidiary in an acquisition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Indebtedness exists at the time such Person becomes a Restricted Subsidiary (or is so merged or consolidated) or such assets are acquired and is not created in contemplation of or in connection with such Person becoming a Restricted Subsidiary (or such merger or consolidation) or such assets being acquired and (y) after giving effect to such Indebtedness on a Pro Forma Basis, the Borrowers would be in compliance with the Financial Covenants and (ii) Refinancing Indebtedness in respect of Indebtedness incurred or assumed, as applicable, pursuant to clause (i) above;</w:t>
      </w:r>
    </w:p>
    <w:p>
      <w:pPr>
        <w:spacing w:after="0" w:line="156" w:lineRule="exact"/>
        <w:rPr>
          <w:rFonts w:ascii="Arial" w:cs="Arial" w:eastAsia="Arial" w:hAnsi="Arial"/>
          <w:sz w:val="19"/>
          <w:szCs w:val="19"/>
          <w:color w:val="auto"/>
        </w:rPr>
      </w:pPr>
    </w:p>
    <w:p>
      <w:pPr>
        <w:ind w:left="1180" w:hanging="524"/>
        <w:spacing w:after="0"/>
        <w:tabs>
          <w:tab w:leader="none" w:pos="118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other Indebtedness in an aggregate principal amount not exceeding at the time of incurrence thereof, the greater of</w:t>
      </w:r>
    </w:p>
    <w:p>
      <w:pPr>
        <w:spacing w:after="0" w:line="55" w:lineRule="exact"/>
        <w:rPr>
          <w:rFonts w:ascii="Arial" w:cs="Arial" w:eastAsia="Arial" w:hAnsi="Arial"/>
          <w:sz w:val="19"/>
          <w:szCs w:val="19"/>
          <w:color w:val="auto"/>
        </w:rPr>
      </w:pPr>
    </w:p>
    <w:p>
      <w:pPr>
        <w:ind w:left="260" w:hanging="252"/>
        <w:spacing w:after="0"/>
        <w:tabs>
          <w:tab w:leader="none" w:pos="2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$200,000,000 and (ii) 2.00% of Consolidated Total Assets determined at the time of incurrence;</w:t>
      </w:r>
    </w:p>
    <w:p>
      <w:pPr>
        <w:spacing w:after="0" w:line="201" w:lineRule="exact"/>
        <w:rPr>
          <w:rFonts w:ascii="Arial" w:cs="Arial" w:eastAsia="Arial" w:hAnsi="Arial"/>
          <w:sz w:val="22"/>
          <w:szCs w:val="22"/>
          <w:color w:val="auto"/>
        </w:rPr>
      </w:pPr>
    </w:p>
    <w:p>
      <w:pPr>
        <w:jc w:val="both"/>
        <w:ind w:firstLine="656"/>
        <w:spacing w:after="0" w:line="250" w:lineRule="auto"/>
        <w:tabs>
          <w:tab w:leader="none" w:pos="1097" w:val="left"/>
        </w:tabs>
        <w:numPr>
          <w:ilvl w:val="1"/>
          <w:numId w:val="149"/>
        </w:numPr>
        <w:rPr>
          <w:rFonts w:ascii="Arial" w:cs="Arial" w:eastAsia="Arial" w:hAnsi="Arial"/>
          <w:sz w:val="22"/>
          <w:szCs w:val="22"/>
          <w:color w:val="auto"/>
        </w:rPr>
      </w:pPr>
      <w:r>
        <w:rPr>
          <w:rFonts w:ascii="Arial" w:cs="Arial" w:eastAsia="Arial" w:hAnsi="Arial"/>
          <w:sz w:val="22"/>
          <w:szCs w:val="22"/>
          <w:color w:val="auto"/>
        </w:rPr>
        <w:t>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113" w:val="left"/>
        </w:tabs>
        <w:numPr>
          <w:ilvl w:val="1"/>
          <w:numId w:val="149"/>
        </w:numPr>
        <w:rPr>
          <w:rFonts w:ascii="Arial" w:cs="Arial" w:eastAsia="Arial" w:hAnsi="Arial"/>
          <w:sz w:val="22"/>
          <w:szCs w:val="22"/>
          <w:color w:val="auto"/>
        </w:rPr>
      </w:pPr>
      <w:r>
        <w:rPr>
          <w:rFonts w:ascii="Arial" w:cs="Arial" w:eastAsia="Arial" w:hAnsi="Arial"/>
          <w:sz w:val="22"/>
          <w:szCs w:val="22"/>
          <w:color w:val="auto"/>
        </w:rPr>
        <w:t>Indebtedness in respect of performance bonds, bid bonds, appeal bonds, surety bonds, performance and completion guarantees and similar obligations (other than in respect of other Indebtedness), in each case provided in the ordinary course of business;</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Indebtedness in respect of Hedging Agreements;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76" w:val="left"/>
        </w:tabs>
        <w:numPr>
          <w:ilvl w:val="1"/>
          <w:numId w:val="149"/>
        </w:numPr>
        <w:rPr>
          <w:rFonts w:ascii="Arial" w:cs="Arial" w:eastAsia="Arial" w:hAnsi="Arial"/>
          <w:sz w:val="22"/>
          <w:szCs w:val="22"/>
          <w:color w:val="auto"/>
        </w:rPr>
      </w:pPr>
      <w:r>
        <w:rPr>
          <w:rFonts w:ascii="Arial" w:cs="Arial" w:eastAsia="Arial" w:hAnsi="Arial"/>
          <w:sz w:val="22"/>
          <w:szCs w:val="22"/>
          <w:color w:val="auto"/>
        </w:rPr>
        <w:t xml:space="preserve">Indebtedness owed in respect of any overdrafts and related liabilities arising from treasury, depositary and Cash Management Services or in connection with any automated clearinghouse transfers of funds;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shall be repaid in full within five Business Days of the incurrence thereof;</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45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 xml:space="preserve">Indebtedness in the form of purchase price adjustments, earnouts, non-competition agreements or other arrangements representing acquisition consideration or deferred payments of a similar nature incurred in connection with any acquisition or other investment permitted under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Indebtedness in respect of Bilateral Facilities not to exceed $500,000,000 in the aggregate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28" w:right="339" w:bottom="1440" w:gutter="0" w:footer="0" w:header="0"/>
        </w:sectPr>
      </w:pPr>
    </w:p>
    <w:bookmarkStart w:id="198" w:name="page199"/>
    <w:bookmarkEnd w:id="198"/>
    <w:p>
      <w:pPr>
        <w:jc w:val="both"/>
        <w:ind w:firstLine="656"/>
        <w:spacing w:after="0" w:line="250" w:lineRule="auto"/>
        <w:tabs>
          <w:tab w:leader="none" w:pos="115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Indebtedness incurred under a declaration of joint and several liability (</w:t>
      </w:r>
      <w:r>
        <w:rPr>
          <w:rFonts w:ascii="Arial" w:cs="Arial" w:eastAsia="Arial" w:hAnsi="Arial"/>
          <w:sz w:val="22"/>
          <w:szCs w:val="22"/>
          <w:i w:val="1"/>
          <w:iCs w:val="1"/>
          <w:color w:val="auto"/>
        </w:rPr>
        <w:t>hoofdelijke aansprakelijkheid</w:t>
      </w:r>
      <w:r>
        <w:rPr>
          <w:rFonts w:ascii="Arial" w:cs="Arial" w:eastAsia="Arial" w:hAnsi="Arial"/>
          <w:sz w:val="22"/>
          <w:szCs w:val="22"/>
          <w:color w:val="auto"/>
        </w:rPr>
        <w:t>) in respect of any Restricted Subsidiary organized in the Netherlands used for the purpose of section 2:403 of the Dutch Civil Code (</w:t>
      </w:r>
      <w:r>
        <w:rPr>
          <w:rFonts w:ascii="Arial" w:cs="Arial" w:eastAsia="Arial" w:hAnsi="Arial"/>
          <w:sz w:val="22"/>
          <w:szCs w:val="22"/>
          <w:i w:val="1"/>
          <w:iCs w:val="1"/>
          <w:color w:val="auto"/>
        </w:rPr>
        <w:t>Burgerlijk</w:t>
      </w:r>
      <w:r>
        <w:rPr>
          <w:rFonts w:ascii="Arial" w:cs="Arial" w:eastAsia="Arial" w:hAnsi="Arial"/>
          <w:sz w:val="22"/>
          <w:szCs w:val="22"/>
          <w:color w:val="auto"/>
        </w:rPr>
        <w:t xml:space="preserve"> </w:t>
      </w:r>
      <w:r>
        <w:rPr>
          <w:rFonts w:ascii="Arial" w:cs="Arial" w:eastAsia="Arial" w:hAnsi="Arial"/>
          <w:sz w:val="22"/>
          <w:szCs w:val="22"/>
          <w:i w:val="1"/>
          <w:iCs w:val="1"/>
          <w:color w:val="auto"/>
        </w:rPr>
        <w:t>Wetb</w:t>
      </w:r>
      <w:r>
        <w:rPr>
          <w:rFonts w:ascii="Arial" w:cs="Arial" w:eastAsia="Arial" w:hAnsi="Arial"/>
          <w:sz w:val="22"/>
          <w:szCs w:val="22"/>
          <w:color w:val="auto"/>
        </w:rPr>
        <w:t>oek) (and any residual liability (</w:t>
      </w:r>
      <w:r>
        <w:rPr>
          <w:rFonts w:ascii="Arial" w:cs="Arial" w:eastAsia="Arial" w:hAnsi="Arial"/>
          <w:sz w:val="22"/>
          <w:szCs w:val="22"/>
          <w:i w:val="1"/>
          <w:iCs w:val="1"/>
          <w:color w:val="auto"/>
        </w:rPr>
        <w:t>overblijvende aansprakelijkheid</w:t>
      </w:r>
      <w:r>
        <w:rPr>
          <w:rFonts w:ascii="Arial" w:cs="Arial" w:eastAsia="Arial" w:hAnsi="Arial"/>
          <w:sz w:val="22"/>
          <w:szCs w:val="22"/>
          <w:color w:val="auto"/>
        </w:rPr>
        <w:t>) under such declaration arising pursuant to section 2:404(2)</w:t>
      </w:r>
      <w:r>
        <w:rPr>
          <w:rFonts w:ascii="Arial" w:cs="Arial" w:eastAsia="Arial" w:hAnsi="Arial"/>
          <w:sz w:val="22"/>
          <w:szCs w:val="22"/>
          <w:i w:val="1"/>
          <w:iCs w:val="1"/>
          <w:color w:val="auto"/>
        </w:rPr>
        <w:t xml:space="preserve"> </w:t>
      </w:r>
      <w:r>
        <w:rPr>
          <w:rFonts w:ascii="Arial" w:cs="Arial" w:eastAsia="Arial" w:hAnsi="Arial"/>
          <w:sz w:val="22"/>
          <w:szCs w:val="22"/>
          <w:color w:val="auto"/>
        </w:rPr>
        <w:t>of the Dutch Civil Code);</w:t>
      </w:r>
    </w:p>
    <w:p>
      <w:pPr>
        <w:spacing w:after="0" w:line="187" w:lineRule="exact"/>
        <w:rPr>
          <w:rFonts w:ascii="Arial" w:cs="Arial" w:eastAsia="Arial" w:hAnsi="Arial"/>
          <w:sz w:val="22"/>
          <w:szCs w:val="22"/>
          <w:color w:val="auto"/>
        </w:rPr>
      </w:pPr>
    </w:p>
    <w:p>
      <w:pPr>
        <w:ind w:firstLine="656"/>
        <w:spacing w:after="0" w:line="263" w:lineRule="auto"/>
        <w:tabs>
          <w:tab w:leader="none" w:pos="111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Indebtedness (including Guarantees) arising as a result of a fiscal unity (</w:t>
      </w:r>
      <w:r>
        <w:rPr>
          <w:rFonts w:ascii="Arial" w:cs="Arial" w:eastAsia="Arial" w:hAnsi="Arial"/>
          <w:sz w:val="22"/>
          <w:szCs w:val="22"/>
          <w:i w:val="1"/>
          <w:iCs w:val="1"/>
          <w:color w:val="auto"/>
        </w:rPr>
        <w:t>fiscale eenheid</w:t>
      </w:r>
      <w:r>
        <w:rPr>
          <w:rFonts w:ascii="Arial" w:cs="Arial" w:eastAsia="Arial" w:hAnsi="Arial"/>
          <w:sz w:val="22"/>
          <w:szCs w:val="22"/>
          <w:color w:val="auto"/>
        </w:rPr>
        <w:t>) for Dutch tax purposes with any other Restricted Subsidiary organized in the Netherlands;</w:t>
      </w:r>
    </w:p>
    <w:p>
      <w:pPr>
        <w:spacing w:after="0" w:line="174" w:lineRule="exact"/>
        <w:rPr>
          <w:rFonts w:ascii="Arial" w:cs="Arial" w:eastAsia="Arial" w:hAnsi="Arial"/>
          <w:sz w:val="22"/>
          <w:szCs w:val="22"/>
          <w:color w:val="auto"/>
        </w:rPr>
      </w:pPr>
    </w:p>
    <w:p>
      <w:pPr>
        <w:ind w:firstLine="656"/>
        <w:spacing w:after="0" w:line="263" w:lineRule="auto"/>
        <w:tabs>
          <w:tab w:leader="none" w:pos="1173"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Indebtedness representing deferred compensation to directors, officers, consultants or employees of the Borrowers and their Restricted Subsidiaries incurred in the ordinary course of business;</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2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Indebtedness consisting of promissory notes issued by any Loan Party to current or former officers, directors, consultants and employees or their respective estates, spouses or former spouses to finance the purchase or redemption of Equity Interests of the Borrowers permitted by </w:t>
      </w:r>
      <w:r>
        <w:rPr>
          <w:rFonts w:ascii="Arial" w:cs="Arial" w:eastAsia="Arial" w:hAnsi="Arial"/>
          <w:sz w:val="22"/>
          <w:szCs w:val="22"/>
          <w:u w:val="single" w:color="auto"/>
          <w:color w:val="auto"/>
        </w:rPr>
        <w:t>Section 6.08</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5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Indebtedness of Foreign Subsidiaries in an aggregate principal amount, at the time of incurrence thereof, not exceeding the greater of (i) $250,000,000 at any time outstanding and (ii) 2.50% of Consolidated Total Assets determined at the time of incurrence.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Borrowers will not, nor will they permit any of their Restricted Subsidiaries to, create, incur, assume or permit to exist any Lien on any asset now owned or hereafter acquired by it, except:</w:t>
      </w:r>
    </w:p>
    <w:p>
      <w:pPr>
        <w:spacing w:after="0" w:line="175" w:lineRule="exact"/>
        <w:rPr>
          <w:sz w:val="20"/>
          <w:szCs w:val="20"/>
          <w:color w:val="auto"/>
        </w:rPr>
      </w:pPr>
    </w:p>
    <w:p>
      <w:pPr>
        <w:ind w:left="1120" w:hanging="464"/>
        <w:spacing w:after="0"/>
        <w:tabs>
          <w:tab w:leader="none" w:pos="112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Liens created under the Loan Documents;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19" w:lineRule="exact"/>
        <w:rPr>
          <w:rFonts w:ascii="Arial" w:cs="Arial" w:eastAsia="Arial" w:hAnsi="Arial"/>
          <w:sz w:val="22"/>
          <w:szCs w:val="22"/>
          <w:color w:val="auto"/>
        </w:rPr>
      </w:pPr>
    </w:p>
    <w:p>
      <w:pPr>
        <w:jc w:val="both"/>
        <w:ind w:firstLine="656"/>
        <w:spacing w:after="0" w:line="292" w:lineRule="auto"/>
        <w:tabs>
          <w:tab w:leader="none" w:pos="114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any Lien on any asset of the Borrowers or any Restricted Subsidiary existing on the Effective Date and set forth in </w:t>
      </w:r>
      <w:r>
        <w:rPr>
          <w:rFonts w:ascii="Arial" w:cs="Arial" w:eastAsia="Arial" w:hAnsi="Arial"/>
          <w:sz w:val="19"/>
          <w:szCs w:val="19"/>
          <w:u w:val="single" w:color="auto"/>
          <w:color w:val="auto"/>
        </w:rPr>
        <w:t>Schedule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asset of the Borrowers or any Restricted Subsidiary (other than assets financed by the same financing source in the ordinary course of business), and (ii) such Lien shall secure only those obligations that it secures on the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as Refinancing Indebtedness in respect thereof;</w:t>
      </w:r>
    </w:p>
    <w:p>
      <w:pPr>
        <w:spacing w:after="0" w:line="150" w:lineRule="exact"/>
        <w:rPr>
          <w:rFonts w:ascii="Arial" w:cs="Arial" w:eastAsia="Arial" w:hAnsi="Arial"/>
          <w:sz w:val="19"/>
          <w:szCs w:val="19"/>
          <w:color w:val="auto"/>
        </w:rPr>
      </w:pPr>
    </w:p>
    <w:p>
      <w:pPr>
        <w:jc w:val="both"/>
        <w:ind w:firstLine="656"/>
        <w:spacing w:after="0" w:line="265" w:lineRule="auto"/>
        <w:tabs>
          <w:tab w:leader="none" w:pos="1212" w:val="left"/>
        </w:tabs>
        <w:numPr>
          <w:ilvl w:val="0"/>
          <w:numId w:val="151"/>
        </w:numPr>
        <w:rPr>
          <w:rFonts w:ascii="Arial" w:cs="Arial" w:eastAsia="Arial" w:hAnsi="Arial"/>
          <w:sz w:val="21"/>
          <w:szCs w:val="21"/>
          <w:color w:val="auto"/>
        </w:rPr>
      </w:pPr>
      <w:r>
        <w:rPr>
          <w:rFonts w:ascii="Arial" w:cs="Arial" w:eastAsia="Arial" w:hAnsi="Arial"/>
          <w:sz w:val="21"/>
          <w:szCs w:val="21"/>
          <w:color w:val="auto"/>
        </w:rPr>
        <w:t>any Lien existing on any asset prior to the acquisition thereof by the Borrowers or any Restricted Subsidiary or existing on any asset of any Person that becomes a Restricted Subsidiary (or of any Person not previously a Restricted Subsidiary that is merged or consolidated with or into the Borrowers or a Restricted Subsidiary in a transaction permitted hereunder) after the Effective Date but prior to the time such Person becomes a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428" w:right="339" w:bottom="1440" w:gutter="0" w:footer="0" w:header="0"/>
        </w:sectPr>
      </w:pPr>
    </w:p>
    <w:bookmarkStart w:id="199" w:name="page200"/>
    <w:bookmarkEnd w:id="199"/>
    <w:p>
      <w:pPr>
        <w:jc w:val="both"/>
        <w:spacing w:after="0" w:line="289" w:lineRule="auto"/>
        <w:rPr>
          <w:sz w:val="20"/>
          <w:szCs w:val="20"/>
          <w:color w:val="auto"/>
        </w:rPr>
      </w:pPr>
      <w:r>
        <w:rPr>
          <w:rFonts w:ascii="Arial" w:cs="Arial" w:eastAsia="Arial" w:hAnsi="Arial"/>
          <w:sz w:val="19"/>
          <w:szCs w:val="19"/>
          <w:color w:val="auto"/>
        </w:rPr>
        <w:t xml:space="preserve">Subsidiary (or is so merged or consolidated);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Restricted Subsidiary (or such merger or consolidation), (ii) such Lien shall not apply to any other asset of the Borrowers or any Restricted Subsidiary (other than (x) assets financed by the same financing source in the ordinary course of business and (y) in the case of any such merger or consolidation, the assets of any special purpose merger Subsidiary that is a party thereto) and (iii) such Lien shall secure only those obligations that it secures on the date of such acquisition or the date such Person becomes a Restricted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Arial" w:cs="Arial" w:eastAsia="Arial" w:hAnsi="Arial"/>
          <w:sz w:val="19"/>
          <w:szCs w:val="19"/>
          <w:u w:val="single" w:color="auto"/>
          <w:color w:val="auto"/>
        </w:rPr>
        <w:t>Section 6.01(g)</w:t>
      </w:r>
      <w:r>
        <w:rPr>
          <w:rFonts w:ascii="Arial" w:cs="Arial" w:eastAsia="Arial" w:hAnsi="Arial"/>
          <w:sz w:val="19"/>
          <w:szCs w:val="19"/>
          <w:color w:val="auto"/>
        </w:rPr>
        <w:t xml:space="preserve"> as Refinancing Indebtedness in respect thereof;</w:t>
      </w:r>
    </w:p>
    <w:p>
      <w:pPr>
        <w:spacing w:after="0" w:line="157" w:lineRule="exact"/>
        <w:rPr>
          <w:sz w:val="20"/>
          <w:szCs w:val="20"/>
          <w:color w:val="auto"/>
        </w:rPr>
      </w:pPr>
    </w:p>
    <w:p>
      <w:pPr>
        <w:jc w:val="both"/>
        <w:ind w:firstLine="656"/>
        <w:spacing w:after="0" w:line="287" w:lineRule="auto"/>
        <w:tabs>
          <w:tab w:leader="none" w:pos="12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repaired, replaced or improved (including any such assets made the subject of a Capital Lease Obligation incurred) by the Borrowers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incurred to finance such acquisition, construction, repair, replacement or improvement and permitted by </w:t>
      </w:r>
      <w:r>
        <w:rPr>
          <w:rFonts w:ascii="Arial" w:cs="Arial" w:eastAsia="Arial" w:hAnsi="Arial"/>
          <w:sz w:val="19"/>
          <w:szCs w:val="19"/>
          <w:u w:val="single" w:color="auto"/>
          <w:color w:val="auto"/>
        </w:rPr>
        <w:t>Section 6.01(f)(i)</w:t>
      </w:r>
      <w:r>
        <w:rPr>
          <w:rFonts w:ascii="Arial" w:cs="Arial" w:eastAsia="Arial" w:hAnsi="Arial"/>
          <w:sz w:val="19"/>
          <w:szCs w:val="19"/>
          <w:color w:val="auto"/>
        </w:rPr>
        <w:t xml:space="preserve"> or any Refinancing Indebtedness in respect thereof permitted by </w:t>
      </w:r>
      <w:r>
        <w:rPr>
          <w:rFonts w:ascii="Arial" w:cs="Arial" w:eastAsia="Arial" w:hAnsi="Arial"/>
          <w:sz w:val="19"/>
          <w:szCs w:val="19"/>
          <w:u w:val="single" w:color="auto"/>
          <w:color w:val="auto"/>
        </w:rPr>
        <w:t>Section 6.01(f)(ii)</w:t>
      </w:r>
      <w:r>
        <w:rPr>
          <w:rFonts w:ascii="Arial" w:cs="Arial" w:eastAsia="Arial" w:hAnsi="Arial"/>
          <w:sz w:val="19"/>
          <w:szCs w:val="19"/>
          <w:color w:val="auto"/>
        </w:rPr>
        <w:t>, (ii) such Liens and the Indebtedness secured thereby are incurred prior to or within 270 days after such acquisition or the completion of such construction, repair, replacement or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not apply to any Refinancing Indebtedness permitted by </w:t>
      </w:r>
      <w:r>
        <w:rPr>
          <w:rFonts w:ascii="Arial" w:cs="Arial" w:eastAsia="Arial" w:hAnsi="Arial"/>
          <w:sz w:val="19"/>
          <w:szCs w:val="19"/>
          <w:u w:val="single" w:color="auto"/>
          <w:color w:val="auto"/>
        </w:rPr>
        <w:t>Section 6.01(f)(ii)</w:t>
      </w:r>
      <w:r>
        <w:rPr>
          <w:rFonts w:ascii="Arial" w:cs="Arial" w:eastAsia="Arial" w:hAnsi="Arial"/>
          <w:sz w:val="19"/>
          <w:szCs w:val="19"/>
          <w:color w:val="auto"/>
        </w:rPr>
        <w:t xml:space="preserve"> or any Lien securing such Refinancing Indebtedness), (iii) the Indebtedness secured thereby does not exceed the cost of acquiring, constructing, repairing, replacing or improving such fixed or capital asset and in any event, the aggregate principal amount of such Indebtedness does not exceed the amount permitted under the second proviso of </w:t>
      </w:r>
      <w:r>
        <w:rPr>
          <w:rFonts w:ascii="Arial" w:cs="Arial" w:eastAsia="Arial" w:hAnsi="Arial"/>
          <w:sz w:val="19"/>
          <w:szCs w:val="19"/>
          <w:u w:val="single" w:color="auto"/>
          <w:color w:val="auto"/>
        </w:rPr>
        <w:t>Section 6.01(f)</w:t>
      </w:r>
      <w:r>
        <w:rPr>
          <w:rFonts w:ascii="Arial" w:cs="Arial" w:eastAsia="Arial" w:hAnsi="Arial"/>
          <w:sz w:val="19"/>
          <w:szCs w:val="19"/>
          <w:color w:val="auto"/>
        </w:rPr>
        <w:t xml:space="preserve"> and (iv) such Liens shall not apply to any other property or assets of the Borrowers or any Restricted Subsidiary (except assets financed by the same financing source in the ordinary course of business);</w:t>
      </w:r>
    </w:p>
    <w:p>
      <w:pPr>
        <w:spacing w:after="0" w:line="163" w:lineRule="exact"/>
        <w:rPr>
          <w:rFonts w:ascii="Arial" w:cs="Arial" w:eastAsia="Arial" w:hAnsi="Arial"/>
          <w:sz w:val="19"/>
          <w:szCs w:val="19"/>
          <w:color w:val="auto"/>
        </w:rPr>
      </w:pPr>
    </w:p>
    <w:p>
      <w:pPr>
        <w:ind w:firstLine="656"/>
        <w:spacing w:after="0" w:line="343" w:lineRule="auto"/>
        <w:tabs>
          <w:tab w:leader="none" w:pos="109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in connection with the sale or transfer of any Equity Interests or other assets in a transaction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6.05</w:t>
      </w:r>
      <w:r>
        <w:rPr>
          <w:rFonts w:ascii="Arial" w:cs="Arial" w:eastAsia="Arial" w:hAnsi="Arial"/>
          <w:sz w:val="19"/>
          <w:szCs w:val="19"/>
          <w:color w:val="auto"/>
        </w:rPr>
        <w:t>, customary rights and restrictions contained in agreements relating to such sale or transfer pending the completion thereof;</w:t>
      </w:r>
    </w:p>
    <w:p>
      <w:pPr>
        <w:spacing w:after="0" w:line="104" w:lineRule="exact"/>
        <w:rPr>
          <w:rFonts w:ascii="Arial" w:cs="Arial" w:eastAsia="Arial" w:hAnsi="Arial"/>
          <w:sz w:val="19"/>
          <w:szCs w:val="19"/>
          <w:color w:val="auto"/>
        </w:rPr>
      </w:pPr>
    </w:p>
    <w:p>
      <w:pPr>
        <w:jc w:val="both"/>
        <w:ind w:firstLine="656"/>
        <w:spacing w:after="0" w:line="265" w:lineRule="auto"/>
        <w:tabs>
          <w:tab w:leader="none" w:pos="115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in the case of (i) any Restricted Subsidiary that is not a wholly owned Subsidiary or (ii) the Equity Interests in any Person that is not a Restricted Subsidiary, any encumbrance or restriction, including any put and call arrangements, related to Equity Interests in such Restricted Subsidiary or such other Person set forth in the organizational documents of such Restricted Subsidiary or such other Person or any related joint venture, shareholders’ or similar agreement;</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27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Liens solely on any cash earnest money deposits, escrow arrangements or similar arrangements made by the Borrowers or any Restricted Subsidiary in connection with any letter of intent or purchase agreement for an acquisition or other transaction permitted hereunder;</w:t>
      </w:r>
    </w:p>
    <w:p>
      <w:pPr>
        <w:spacing w:after="0" w:line="185" w:lineRule="exact"/>
        <w:rPr>
          <w:rFonts w:ascii="Arial" w:cs="Arial" w:eastAsia="Arial" w:hAnsi="Arial"/>
          <w:sz w:val="22"/>
          <w:szCs w:val="22"/>
          <w:color w:val="auto"/>
        </w:rPr>
      </w:pPr>
    </w:p>
    <w:p>
      <w:pPr>
        <w:ind w:firstLine="656"/>
        <w:spacing w:after="0" w:line="263" w:lineRule="auto"/>
        <w:tabs>
          <w:tab w:leader="none" w:pos="119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Liens securing Indebtedness under Secured Bilateral Facilities in an amount not to exceed $500,000,000 in the aggregate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428" w:right="339" w:bottom="1440" w:gutter="0" w:footer="0" w:header="0"/>
        </w:sectPr>
      </w:pPr>
    </w:p>
    <w:bookmarkStart w:id="200" w:name="page201"/>
    <w:bookmarkEnd w:id="200"/>
    <w:p>
      <w:pPr>
        <w:ind w:left="1080" w:hanging="424"/>
        <w:spacing w:after="0"/>
        <w:tabs>
          <w:tab w:leader="none" w:pos="10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firstLine="656"/>
        <w:spacing w:after="0" w:line="263" w:lineRule="auto"/>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Liens arising under the Dutch General Banking Conditions (</w:t>
      </w:r>
      <w:r>
        <w:rPr>
          <w:rFonts w:ascii="Arial" w:cs="Arial" w:eastAsia="Arial" w:hAnsi="Arial"/>
          <w:sz w:val="22"/>
          <w:szCs w:val="22"/>
          <w:i w:val="1"/>
          <w:iCs w:val="1"/>
          <w:color w:val="auto"/>
        </w:rPr>
        <w:t>Algemene Bankvoorwaarden</w:t>
      </w:r>
      <w:r>
        <w:rPr>
          <w:rFonts w:ascii="Arial" w:cs="Arial" w:eastAsia="Arial" w:hAnsi="Arial"/>
          <w:sz w:val="22"/>
          <w:szCs w:val="22"/>
          <w:color w:val="auto"/>
        </w:rPr>
        <w:t>) or any similar term applied by a financial institution in the Netherlands pursuant to its general terms and conditions; and</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08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Liens not otherwise permitted by this Section to the extent that such Liens are not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Obligations or otherwise do not encumber any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outstanding principal amount of the obligations secured thereby, at the time of incurrence thereof, does not exceed the greater of (i) $150,000,000 and (ii) 1.50% of Consolidated Total Assets determined at the time of incurrence.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Notwithstanding anything to the contrary contained in the foregoing, the Borrowers will not, and will not permit any of their Restricted Subsidiaries to, create, incur, assume, or suffer to exist, directly or indirectly, any Lien on or with respect to any Real Property set forth on </w:t>
      </w:r>
      <w:r>
        <w:rPr>
          <w:rFonts w:ascii="Arial" w:cs="Arial" w:eastAsia="Arial" w:hAnsi="Arial"/>
          <w:sz w:val="19"/>
          <w:szCs w:val="19"/>
          <w:u w:val="single" w:color="auto"/>
          <w:color w:val="auto"/>
        </w:rPr>
        <w:t>Schedule 6.02(B)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foregoing restriction shall not prohibit any sale, transfer, lease or other disposition of such Real Property otherwise permitted by this Agreement.</w:t>
      </w:r>
    </w:p>
    <w:p>
      <w:pPr>
        <w:spacing w:after="0" w:line="14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Fundamental Changes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7" w:lineRule="auto"/>
        <w:tabs>
          <w:tab w:leader="none" w:pos="1139"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The Borrowers will not, nor will they permit any of their Restricted Subsidiaries to, merge into or consolidate with any other Person, or permit any other Person to merge into or consolidate with it, or liquidate or dissolve, except that, (i) any Person may merge into or consolidate with the Company in a transaction in which the Company is the surviving entity; (ii) any Person (other than the Company) may merge into or consolidate with any Restricted Subsidiary in a transaction in which the surviving entity is a Restricted Subsidiary and, if any party to such merger or consolidation is a Guarantor, is a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transaction involves the U.S. Borrower, the U.S. Borrower shall be the surviving entity; and (iii) any Restricted Subsidiary other than the U.S. Borrower may liquidate or dissolve if the Company determines in good faith that such liquidation or dissolution is in the best interests of the Borrowers and is not materially disadvantageous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merger or consolidation involving a Person that is not a wholly owned Restricted Subsidiary immediately prior to such merger or consolidation shall not be permitted unless (x) at the time thereof and immediately after giving effect thereto no Event of Default shall have occurred and be continuing, and (y) such merger or consolidation is also permitted by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firstLine="656"/>
        <w:spacing w:after="0" w:line="263" w:lineRule="auto"/>
        <w:tabs>
          <w:tab w:leader="none" w:pos="120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Borrowers will not, nor will they permit any Restricted Subsidiary to, engage to any material extent in any business other than a Permitted Business.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Investments, Loans, Advances, Guarantees and Acquisitions</w:t>
      </w:r>
      <w:r>
        <w:rPr>
          <w:rFonts w:ascii="Arial" w:cs="Arial" w:eastAsia="Arial" w:hAnsi="Arial"/>
          <w:sz w:val="21"/>
          <w:szCs w:val="21"/>
          <w:color w:val="auto"/>
        </w:rPr>
        <w:t>. The Borrowers will not, nor will they permit any of their Restricted Subsidiaries to, purchase, hold or acquire (including pursuant to any merger or consolidation with any Person that was not a wholly owned Restricted Subsidiary prior to such merger or consolidation) any Equity Interests in or evidences of Indebtedness or other securities (including any option, warrant or other right to acquire any of the foregoing) of, make or permit to exist any loans or advances to, Guarantee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28" w:right="339" w:bottom="1440" w:gutter="0" w:footer="0" w:header="0"/>
        </w:sectPr>
      </w:pPr>
    </w:p>
    <w:bookmarkStart w:id="201" w:name="page202"/>
    <w:bookmarkEnd w:id="201"/>
    <w:p>
      <w:pPr>
        <w:jc w:val="both"/>
        <w:spacing w:after="0" w:line="253" w:lineRule="auto"/>
        <w:rPr>
          <w:sz w:val="20"/>
          <w:szCs w:val="20"/>
          <w:color w:val="auto"/>
        </w:rPr>
      </w:pPr>
      <w:r>
        <w:rPr>
          <w:rFonts w:ascii="Arial" w:cs="Arial" w:eastAsia="Arial" w:hAnsi="Arial"/>
          <w:sz w:val="22"/>
          <w:szCs w:val="22"/>
          <w:color w:val="auto"/>
        </w:rPr>
        <w:t>obligations of, or make or permit to exist any investment in, any other Person, or purchase or otherwise acquire (in one transaction or a series of transactions) any assets of any other Person constituting a business unit (each of the foregoing, an “</w:t>
      </w:r>
      <w:r>
        <w:rPr>
          <w:rFonts w:ascii="Arial" w:cs="Arial" w:eastAsia="Arial" w:hAnsi="Arial"/>
          <w:sz w:val="22"/>
          <w:szCs w:val="22"/>
          <w:u w:val="single" w:color="auto"/>
          <w:color w:val="auto"/>
        </w:rPr>
        <w:t>Investment</w:t>
      </w:r>
      <w:r>
        <w:rPr>
          <w:rFonts w:ascii="Arial" w:cs="Arial" w:eastAsia="Arial" w:hAnsi="Arial"/>
          <w:sz w:val="22"/>
          <w:szCs w:val="22"/>
          <w:color w:val="auto"/>
        </w:rPr>
        <w:t>”), except:</w:t>
      </w:r>
    </w:p>
    <w:p>
      <w:pPr>
        <w:spacing w:after="0" w:line="185" w:lineRule="exact"/>
        <w:rPr>
          <w:sz w:val="20"/>
          <w:szCs w:val="20"/>
          <w:color w:val="auto"/>
        </w:rPr>
      </w:pPr>
    </w:p>
    <w:p>
      <w:pPr>
        <w:ind w:left="1120" w:hanging="464"/>
        <w:spacing w:after="0"/>
        <w:tabs>
          <w:tab w:leader="none" w:pos="11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219" w:lineRule="exact"/>
        <w:rPr>
          <w:rFonts w:ascii="Arial" w:cs="Arial" w:eastAsia="Arial" w:hAnsi="Arial"/>
          <w:sz w:val="22"/>
          <w:szCs w:val="22"/>
          <w:color w:val="auto"/>
        </w:rPr>
      </w:pPr>
    </w:p>
    <w:p>
      <w:pPr>
        <w:jc w:val="both"/>
        <w:ind w:firstLine="656"/>
        <w:spacing w:after="0" w:line="289" w:lineRule="auto"/>
        <w:tabs>
          <w:tab w:leader="none" w:pos="116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Investments constituting the purchase or other acquisition (in one transaction or a series of related transactions) of all or substantially all of the property and assets or business of any Person or of assets constituting a business unit, a line of business or division of such Person, or the Equity Interests in a Person that, upon the consummation thereof, will be a Restricted Subsidiary if, after giving effect thereto on a Pro Forma Basis, the Borrowers would be in compliance with the Financial Covenants;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cash consideration paid in respect of such Investments (including in the form of loans or advances made to Restricted Subsidiaries that are not Loan Parties) by Loan Parties involving the acquisition of Restricted Subsidiaries that do not become Loan Parties (together with Investments permitted under subclause (ii) of clause (e) of this Section) shall not exceed, at the time such Investment is made and after giving effect thereto, the greater of (A) $50,000,000 and (B) 0.50% of Consolidated Total Assets determined at the time of investment;</w:t>
      </w:r>
    </w:p>
    <w:p>
      <w:pPr>
        <w:spacing w:after="0" w:line="156" w:lineRule="exact"/>
        <w:rPr>
          <w:rFonts w:ascii="Arial" w:cs="Arial" w:eastAsia="Arial" w:hAnsi="Arial"/>
          <w:sz w:val="19"/>
          <w:szCs w:val="19"/>
          <w:color w:val="auto"/>
        </w:rPr>
      </w:pPr>
    </w:p>
    <w:p>
      <w:pPr>
        <w:ind w:left="1120" w:hanging="464"/>
        <w:spacing w:after="0"/>
        <w:tabs>
          <w:tab w:leader="none" w:pos="11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cash and cash equivalents;</w:t>
      </w:r>
    </w:p>
    <w:p>
      <w:pPr>
        <w:spacing w:after="0" w:line="219" w:lineRule="exact"/>
        <w:rPr>
          <w:rFonts w:ascii="Arial" w:cs="Arial" w:eastAsia="Arial" w:hAnsi="Arial"/>
          <w:sz w:val="22"/>
          <w:szCs w:val="22"/>
          <w:color w:val="auto"/>
        </w:rPr>
      </w:pPr>
    </w:p>
    <w:p>
      <w:pPr>
        <w:ind w:firstLine="656"/>
        <w:spacing w:after="0" w:line="287" w:lineRule="auto"/>
        <w:tabs>
          <w:tab w:leader="none" w:pos="1119" w:val="left"/>
        </w:tabs>
        <w:numPr>
          <w:ilvl w:val="0"/>
          <w:numId w:val="155"/>
        </w:numPr>
        <w:rPr>
          <w:rFonts w:ascii="Arial" w:cs="Arial" w:eastAsia="Arial" w:hAnsi="Arial"/>
          <w:sz w:val="21"/>
          <w:szCs w:val="21"/>
          <w:color w:val="auto"/>
        </w:rPr>
      </w:pPr>
      <w:r>
        <w:rPr>
          <w:rFonts w:ascii="Arial" w:cs="Arial" w:eastAsia="Arial" w:hAnsi="Arial"/>
          <w:sz w:val="21"/>
          <w:szCs w:val="21"/>
          <w:color w:val="auto"/>
        </w:rPr>
        <w:t xml:space="preserve">(i) Investments (including intercompany loans and advances) existing on the Effective Date in the Borrowers and the Restricted Subsidiaries and (ii) other Investments existing on the Effective Date and set forth on </w:t>
      </w:r>
      <w:r>
        <w:rPr>
          <w:rFonts w:ascii="Arial" w:cs="Arial" w:eastAsia="Arial" w:hAnsi="Arial"/>
          <w:sz w:val="21"/>
          <w:szCs w:val="21"/>
          <w:u w:val="single" w:color="auto"/>
          <w:color w:val="auto"/>
        </w:rPr>
        <w:t>Schedule 6.04</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firstLine="656"/>
        <w:spacing w:after="0" w:line="259" w:lineRule="auto"/>
        <w:tabs>
          <w:tab w:leader="none" w:pos="1142" w:val="left"/>
        </w:tabs>
        <w:numPr>
          <w:ilvl w:val="0"/>
          <w:numId w:val="155"/>
        </w:numPr>
        <w:rPr>
          <w:rFonts w:ascii="Arial" w:cs="Arial" w:eastAsia="Arial" w:hAnsi="Arial"/>
          <w:sz w:val="21"/>
          <w:szCs w:val="21"/>
          <w:color w:val="auto"/>
        </w:rPr>
      </w:pPr>
      <w:r>
        <w:rPr>
          <w:rFonts w:ascii="Arial" w:cs="Arial" w:eastAsia="Arial" w:hAnsi="Arial"/>
          <w:sz w:val="21"/>
          <w:szCs w:val="21"/>
          <w:color w:val="auto"/>
        </w:rPr>
        <w:t xml:space="preserve">Investments made by any Loan Party (i) in any other Loan Party or (ii) in Restricted Subsidiaries that are not Loan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any Equity Interests held by a Loan Party shall be pledged or charged to the extent required by the definition of the term “Collateral and Guarantee Requirement”, (B) any loans and advances made by a Loan Party shall be evidenced, on and after the Effective Date, by a promissory note pledged or charged pursuant to the Security Documents and (C) the aggregate amount of all Investments permitted under subclause (ii) of this clause (e) (together with Investments permitted under clause (b) of this Section) shall not exceed, at the time such Investment is made and after giving effect thereto, the greater of (A) $300,000,000 and (B) 3.00% of Consolidated Total Assets determined at the time of investment (in each case determined without regard to any write-downs or write-offs);</w:t>
      </w:r>
    </w:p>
    <w:p>
      <w:pPr>
        <w:spacing w:after="0" w:line="183" w:lineRule="exact"/>
        <w:rPr>
          <w:rFonts w:ascii="Arial" w:cs="Arial" w:eastAsia="Arial" w:hAnsi="Arial"/>
          <w:sz w:val="21"/>
          <w:szCs w:val="21"/>
          <w:color w:val="auto"/>
        </w:rPr>
      </w:pPr>
    </w:p>
    <w:p>
      <w:pPr>
        <w:ind w:left="1080" w:hanging="424"/>
        <w:spacing w:after="0"/>
        <w:tabs>
          <w:tab w:leader="none" w:pos="10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56"/>
        <w:spacing w:after="0" w:line="312" w:lineRule="auto"/>
        <w:tabs>
          <w:tab w:leader="none" w:pos="121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loans or advances to directors, officers, consultants or employees of the Borrowers or any Restricted Subsidiary made in the ordinary course of business of the Borrowers or such Restricted Subsidiary, as applicable, not exceeding $25,000,000 in the aggregate outstanding at any time (determined without regard to any write-downs or write-offs of such loans or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428" w:right="339" w:bottom="1440" w:gutter="0" w:footer="0" w:header="0"/>
        </w:sectPr>
      </w:pPr>
    </w:p>
    <w:bookmarkStart w:id="202" w:name="page203"/>
    <w:bookmarkEnd w:id="202"/>
    <w:p>
      <w:pPr>
        <w:jc w:val="both"/>
        <w:ind w:firstLine="656"/>
        <w:spacing w:after="0" w:line="253" w:lineRule="auto"/>
        <w:tabs>
          <w:tab w:leader="none" w:pos="110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payroll, travel and similar advances to cover matters that are expected at the time of such advances ultimately to be treated as expenses of the Borrowers or any Restricted Subsidiary for accounting purposes and that are made in the ordinary course of business;</w:t>
      </w:r>
    </w:p>
    <w:p>
      <w:pPr>
        <w:spacing w:after="0" w:line="185" w:lineRule="exact"/>
        <w:rPr>
          <w:rFonts w:ascii="Arial" w:cs="Arial" w:eastAsia="Arial" w:hAnsi="Arial"/>
          <w:sz w:val="22"/>
          <w:szCs w:val="22"/>
          <w:color w:val="auto"/>
        </w:rPr>
      </w:pPr>
    </w:p>
    <w:p>
      <w:pPr>
        <w:ind w:firstLine="656"/>
        <w:spacing w:after="0" w:line="263" w:lineRule="auto"/>
        <w:tabs>
          <w:tab w:leader="none" w:pos="114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received in connection with the bankruptcy or reorganization of, or settlement of delinquent accounts and disputes with, customers and suppliers, in each case in the ordinary course of business;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in the form of Hedging Agreements;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9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of any Person existing at the time such Person becomes a Restricted Subsidiary or consolidates or merges with the Borrowers or any Restricted Subsidiary so long as such Investments were not made in contemplation of such Person becoming a Restricted Subsidiary or of such consolidation or merger;</w:t>
      </w:r>
    </w:p>
    <w:p>
      <w:pPr>
        <w:spacing w:after="0" w:line="185" w:lineRule="exact"/>
        <w:rPr>
          <w:rFonts w:ascii="Arial" w:cs="Arial" w:eastAsia="Arial" w:hAnsi="Arial"/>
          <w:sz w:val="22"/>
          <w:szCs w:val="22"/>
          <w:color w:val="auto"/>
        </w:rPr>
      </w:pPr>
    </w:p>
    <w:p>
      <w:pPr>
        <w:ind w:right="20" w:firstLine="656"/>
        <w:spacing w:after="0" w:line="263" w:lineRule="auto"/>
        <w:tabs>
          <w:tab w:leader="none" w:pos="118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resulting from pledges or deposits described in clause (c) or (d) of the definition of the term “Permitted Encumbrance”;</w:t>
      </w:r>
    </w:p>
    <w:p>
      <w:pPr>
        <w:spacing w:after="0" w:line="174" w:lineRule="exact"/>
        <w:rPr>
          <w:rFonts w:ascii="Arial" w:cs="Arial" w:eastAsia="Arial" w:hAnsi="Arial"/>
          <w:sz w:val="22"/>
          <w:szCs w:val="22"/>
          <w:color w:val="auto"/>
        </w:rPr>
      </w:pPr>
    </w:p>
    <w:p>
      <w:pPr>
        <w:ind w:firstLine="656"/>
        <w:spacing w:after="0" w:line="263" w:lineRule="auto"/>
        <w:tabs>
          <w:tab w:leader="none" w:pos="114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Investments made as a result of the receipt of noncash consideration from a sale, transfer, lease or other disposition of any asset in compliance with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2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Investments that result solely from the receipt by the Borrowers or any Restricted Subsidiary from any of their subsidiaries of a dividend or other Restricted Payment in the form of Equity Interests, evidences of Indebtedness or other securities (but not any additions thereto made after the date of the receipt thereof);</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16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receivables or other trade payables owing to the Borrowers or a Restricted Subsidiary if created or acquired in the ordinary course of business and payable or dischargeable in accordance with customary trade terms;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trade terms may include such concessionary trade terms as the Borrowers or any Restricted Subsidiary deems reasonable under the circumstances;</w:t>
      </w:r>
    </w:p>
    <w:p>
      <w:pPr>
        <w:spacing w:after="0" w:line="187" w:lineRule="exact"/>
        <w:rPr>
          <w:rFonts w:ascii="Arial" w:cs="Arial" w:eastAsia="Arial" w:hAnsi="Arial"/>
          <w:sz w:val="22"/>
          <w:szCs w:val="22"/>
          <w:color w:val="auto"/>
        </w:rPr>
      </w:pPr>
    </w:p>
    <w:p>
      <w:pPr>
        <w:ind w:firstLine="656"/>
        <w:spacing w:after="0" w:line="263" w:lineRule="auto"/>
        <w:tabs>
          <w:tab w:leader="none" w:pos="117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mergers and consolidations permitted under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that do not involve any Person other than the Borrowers and Restricted Subsidiaries that are wholly owned Restricted Subsidiaries;</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right="20" w:firstLine="656"/>
        <w:spacing w:after="0" w:line="287" w:lineRule="auto"/>
        <w:tabs>
          <w:tab w:leader="none" w:pos="1184" w:val="left"/>
        </w:tabs>
        <w:numPr>
          <w:ilvl w:val="0"/>
          <w:numId w:val="156"/>
        </w:numPr>
        <w:rPr>
          <w:rFonts w:ascii="Arial" w:cs="Arial" w:eastAsia="Arial" w:hAnsi="Arial"/>
          <w:sz w:val="21"/>
          <w:szCs w:val="21"/>
          <w:color w:val="auto"/>
        </w:rPr>
      </w:pPr>
      <w:r>
        <w:rPr>
          <w:rFonts w:ascii="Arial" w:cs="Arial" w:eastAsia="Arial" w:hAnsi="Arial"/>
          <w:sz w:val="21"/>
          <w:szCs w:val="21"/>
          <w:color w:val="auto"/>
        </w:rPr>
        <w:t>Guarantees by the Borrowers or any Restricted Subsidiary of leases (other than Capital Lease Obligations) or of other obligations that do not constitute Indebtedness, in each case entered into in the ordinary course of business;</w:t>
      </w:r>
    </w:p>
    <w:p>
      <w:pPr>
        <w:spacing w:after="0" w:line="151" w:lineRule="exact"/>
        <w:rPr>
          <w:rFonts w:ascii="Arial" w:cs="Arial" w:eastAsia="Arial" w:hAnsi="Arial"/>
          <w:sz w:val="21"/>
          <w:szCs w:val="21"/>
          <w:color w:val="auto"/>
        </w:rPr>
      </w:pPr>
    </w:p>
    <w:p>
      <w:pPr>
        <w:jc w:val="both"/>
        <w:ind w:firstLine="656"/>
        <w:spacing w:after="0" w:line="271" w:lineRule="auto"/>
        <w:tabs>
          <w:tab w:leader="none" w:pos="1207"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Investments by the Borrower or any Restricted Subsidiary if, on a Pro Forma Basis after giving effect thereto including all related commitments for future Investments (and the principal amount of any Indebtedness that is assumed or otherwise incurred in connection with such Investment), the Total Leverage Ratio is less than 2.75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28" w:right="339" w:bottom="1440" w:gutter="0" w:footer="0" w:header="0"/>
        </w:sectPr>
      </w:pPr>
    </w:p>
    <w:bookmarkStart w:id="203" w:name="page204"/>
    <w:bookmarkEnd w:id="203"/>
    <w:p>
      <w:pPr>
        <w:jc w:val="both"/>
        <w:ind w:firstLine="656"/>
        <w:spacing w:after="0" w:line="250" w:lineRule="auto"/>
        <w:tabs>
          <w:tab w:leader="none" w:pos="118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other Investments by the Borrowers or any Restricted Subsidiary in an aggregate amount, as valued at cost at the time each such Investment is made and including all related commitments for future Investments, in an aggregate amount not exceeding, at the time such Investments are made and after giving effect thereto, the greater of (i) $150,000,000 and (ii) 1.50% of Consolidated Total Assets determined at the time of investment; and</w:t>
      </w:r>
    </w:p>
    <w:p>
      <w:pPr>
        <w:spacing w:after="0" w:line="187" w:lineRule="exact"/>
        <w:rPr>
          <w:rFonts w:ascii="Arial" w:cs="Arial" w:eastAsia="Arial" w:hAnsi="Arial"/>
          <w:sz w:val="22"/>
          <w:szCs w:val="22"/>
          <w:color w:val="auto"/>
        </w:rPr>
      </w:pPr>
    </w:p>
    <w:p>
      <w:pPr>
        <w:jc w:val="both"/>
        <w:ind w:right="20" w:firstLine="656"/>
        <w:spacing w:after="0" w:line="302" w:lineRule="auto"/>
        <w:tabs>
          <w:tab w:leader="none" w:pos="119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Permitted Joint Venture Investments made by the Company or any of its Restricted Subsidiaries, in an aggregate amount (measured on the date each such Investment was made and without giving effect to subsequent changes in value), when taken together with all other Investments made pursuant to this clause (v) and then outstanding, that does not exceed the greater of (a) $100.0 million and (b) 1.0% of Consolidated Total Assets determined at the time of investment.</w:t>
      </w:r>
    </w:p>
    <w:p>
      <w:pPr>
        <w:spacing w:after="0" w:line="1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Asset Sales</w:t>
      </w:r>
      <w:r>
        <w:rPr>
          <w:rFonts w:ascii="Arial" w:cs="Arial" w:eastAsia="Arial" w:hAnsi="Arial"/>
          <w:sz w:val="19"/>
          <w:szCs w:val="19"/>
          <w:color w:val="auto"/>
        </w:rPr>
        <w:t>. The Borrowers will not, nor will they permit any of their Restricted Subsidiaries to, sell, transfer, lease, license or otherwise dispose of any asset, including any Equity Interest owned by it, nor will the Borrowers permit any Restricted Subsidiary to issue any additional Equity Interest in such Restricted Subsidiary (other than issuing directors’ qualifying shares and other than issuing Equity Interests to the Borrowers or another Restricted Subsidiary), except:</w:t>
      </w:r>
    </w:p>
    <w:p>
      <w:pPr>
        <w:spacing w:after="0" w:line="142" w:lineRule="exact"/>
        <w:rPr>
          <w:sz w:val="20"/>
          <w:szCs w:val="20"/>
          <w:color w:val="auto"/>
        </w:rPr>
      </w:pPr>
    </w:p>
    <w:p>
      <w:pPr>
        <w:jc w:val="both"/>
        <w:ind w:firstLine="656"/>
        <w:spacing w:after="0" w:line="250" w:lineRule="auto"/>
        <w:tabs>
          <w:tab w:leader="none" w:pos="113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sales, transfers, leases and other dispositions of (i) inventory, (ii) used, obsolete or surplus equipment, (iii) property no longer used or useful in the conduct of the business of the Borrowers and the Restricted Subsidiaries (including intellectual property, subject to </w:t>
      </w:r>
      <w:r>
        <w:rPr>
          <w:rFonts w:ascii="Arial" w:cs="Arial" w:eastAsia="Arial" w:hAnsi="Arial"/>
          <w:sz w:val="22"/>
          <w:szCs w:val="22"/>
          <w:u w:val="single" w:color="auto"/>
          <w:color w:val="auto"/>
        </w:rPr>
        <w:t>Section 5.04(b)</w:t>
      </w:r>
      <w:r>
        <w:rPr>
          <w:rFonts w:ascii="Arial" w:cs="Arial" w:eastAsia="Arial" w:hAnsi="Arial"/>
          <w:sz w:val="22"/>
          <w:szCs w:val="22"/>
          <w:color w:val="auto"/>
        </w:rPr>
        <w:t>), (iv) immaterial assets and (v) cash and Permitted Investments, in each case in the ordinary course of business;</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19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sales, transfers, leases and other dispositions to the Borrowers or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sales, transfers, leases or other dispositions involving a Restricted Subsidiary that is not a Loan Party shall, to the extent applicable, be made in compliance with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20" w:firstLine="656"/>
        <w:spacing w:after="0" w:line="263" w:lineRule="auto"/>
        <w:tabs>
          <w:tab w:leader="none" w:pos="123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sales, transfers and other dispositions of accounts receivable in connection with the compromise, settlement or collection thereof not as part of any accounts receivables financing transaction;</w:t>
      </w:r>
    </w:p>
    <w:p>
      <w:pPr>
        <w:spacing w:after="0" w:line="174" w:lineRule="exact"/>
        <w:rPr>
          <w:rFonts w:ascii="Arial" w:cs="Arial" w:eastAsia="Arial" w:hAnsi="Arial"/>
          <w:sz w:val="22"/>
          <w:szCs w:val="22"/>
          <w:color w:val="auto"/>
        </w:rPr>
      </w:pPr>
    </w:p>
    <w:p>
      <w:pPr>
        <w:jc w:val="both"/>
        <w:ind w:firstLine="656"/>
        <w:spacing w:after="0" w:line="294" w:lineRule="auto"/>
        <w:tabs>
          <w:tab w:leader="none" w:pos="121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(i) sales, transfers, leases and other dispositions of assets to the extent that such assets constitute an Investment permitted by clause (j), (l) or (n) 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or another asset received as consideration for the disposition of any asset permitted by this Section (in each case, other than Equity Interests in a Restricted Subsidiary, unless all Equity Interests in such Restricted Subsidiary (other than directors’ qualifying shares) are sold) and (ii) sales, transfers, and other dispositions of the Equity Interests of a Restricted Subsidiary by the Borrowers or a Restricted Subsidiary to the extent such sale, transfer or other disposition would be permissible as an Investment in a Restricted Subsidiary permitted by </w:t>
      </w:r>
      <w:r>
        <w:rPr>
          <w:rFonts w:ascii="Arial" w:cs="Arial" w:eastAsia="Arial" w:hAnsi="Arial"/>
          <w:sz w:val="19"/>
          <w:szCs w:val="19"/>
          <w:u w:val="single" w:color="auto"/>
          <w:color w:val="auto"/>
        </w:rPr>
        <w:t>Section 6.04(e)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(u)</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ind w:firstLine="656"/>
        <w:spacing w:after="0" w:line="263" w:lineRule="auto"/>
        <w:tabs>
          <w:tab w:leader="none" w:pos="113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leases or subleases entered into in the ordinary course of business, to the extent that they do not materially interfere with the business of the Borrowers or any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28" w:right="339" w:bottom="1440" w:gutter="0" w:footer="0" w:header="0"/>
        </w:sectPr>
      </w:pPr>
    </w:p>
    <w:bookmarkStart w:id="204" w:name="page205"/>
    <w:bookmarkEnd w:id="204"/>
    <w:p>
      <w:pPr>
        <w:spacing w:after="0" w:line="263" w:lineRule="auto"/>
        <w:rPr>
          <w:sz w:val="20"/>
          <w:szCs w:val="20"/>
          <w:color w:val="auto"/>
        </w:rPr>
      </w:pPr>
      <w:r>
        <w:rPr>
          <w:rFonts w:ascii="Arial" w:cs="Arial" w:eastAsia="Arial" w:hAnsi="Arial"/>
          <w:sz w:val="22"/>
          <w:szCs w:val="22"/>
          <w:color w:val="auto"/>
        </w:rPr>
        <w:t>Subsidiary and in the case of any Mortgaged Property within England only where such leases are granted to utility providers and are in a standard form utility substation or gas governor lease;</w:t>
      </w:r>
    </w:p>
    <w:p>
      <w:pPr>
        <w:spacing w:after="0" w:line="175" w:lineRule="exact"/>
        <w:rPr>
          <w:sz w:val="20"/>
          <w:szCs w:val="20"/>
          <w:color w:val="auto"/>
        </w:rPr>
      </w:pPr>
    </w:p>
    <w:p>
      <w:pPr>
        <w:ind w:firstLine="656"/>
        <w:spacing w:after="0" w:line="263" w:lineRule="auto"/>
        <w:tabs>
          <w:tab w:leader="none" w:pos="115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non-exclusive licenses or sublicenses of intellectual property in the ordinary course of business, to the extent that they do not materially interfere with the business of the Borrowers or any Restricted Subsidiary;</w:t>
      </w:r>
    </w:p>
    <w:p>
      <w:pPr>
        <w:spacing w:after="0" w:line="174" w:lineRule="exact"/>
        <w:rPr>
          <w:rFonts w:ascii="Arial" w:cs="Arial" w:eastAsia="Arial" w:hAnsi="Arial"/>
          <w:sz w:val="22"/>
          <w:szCs w:val="22"/>
          <w:color w:val="auto"/>
        </w:rPr>
      </w:pPr>
    </w:p>
    <w:p>
      <w:pPr>
        <w:ind w:firstLine="656"/>
        <w:spacing w:after="0" w:line="287" w:lineRule="auto"/>
        <w:tabs>
          <w:tab w:leader="none" w:pos="116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dispositions resulting from any casualty or other insured damage to, or any taking under power of eminent domain or by condemnation or similar proceeding of, any asset of the Borrowers or any Restricted Subsidiary;</w:t>
      </w:r>
    </w:p>
    <w:p>
      <w:pPr>
        <w:spacing w:after="0" w:line="151" w:lineRule="exact"/>
        <w:rPr>
          <w:rFonts w:ascii="Arial" w:cs="Arial" w:eastAsia="Arial" w:hAnsi="Arial"/>
          <w:sz w:val="21"/>
          <w:szCs w:val="21"/>
          <w:color w:val="auto"/>
        </w:rPr>
      </w:pPr>
    </w:p>
    <w:p>
      <w:pPr>
        <w:ind w:right="20" w:firstLine="656"/>
        <w:spacing w:after="0" w:line="343" w:lineRule="auto"/>
        <w:tabs>
          <w:tab w:leader="none" w:pos="114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dispositions of assets to the extent that (i) such assets are exchanged for credit against the purchase price of similar replacement assets or (ii) the proceeds of such disposition are promptly applied to the purchase price of such replacement assets;</w:t>
      </w:r>
    </w:p>
    <w:p>
      <w:pPr>
        <w:spacing w:after="0" w:line="104" w:lineRule="exact"/>
        <w:rPr>
          <w:rFonts w:ascii="Arial" w:cs="Arial" w:eastAsia="Arial" w:hAnsi="Arial"/>
          <w:sz w:val="19"/>
          <w:szCs w:val="19"/>
          <w:color w:val="auto"/>
        </w:rPr>
      </w:pPr>
    </w:p>
    <w:p>
      <w:pPr>
        <w:ind w:left="1080" w:hanging="424"/>
        <w:spacing w:after="0"/>
        <w:tabs>
          <w:tab w:leader="none" w:pos="108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dispositions permitted by </w:t>
      </w:r>
      <w:r>
        <w:rPr>
          <w:rFonts w:ascii="Arial" w:cs="Arial" w:eastAsia="Arial" w:hAnsi="Arial"/>
          <w:sz w:val="22"/>
          <w:szCs w:val="22"/>
          <w:u w:val="single" w:color="auto"/>
          <w:color w:val="auto"/>
        </w:rPr>
        <w:t>Section 6.08</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263" w:lineRule="auto"/>
        <w:tabs>
          <w:tab w:leader="none" w:pos="110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sales, transfers or other dispositions of accounts receivable in connection with the factoring on a non-recourse basis of such accounts receivable;</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1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sales, transfers, leases, licenses and other dispositions of assets if (i) on a Pro Forma Basis after giving effect thereto, the Total Leverage Ratio is less than 3.00 to 1.00 and (ii) no Event of Default has occurred and is continuing at the time of such sale, transfer, lease or other disposition or would result therefrom; and</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15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sales, transfers, leases, licenses and other dispositions of assets that are not permitted by any other clause of this Section;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aggregate fair value of all assets sold, transferred, leased, licensed or otherwise disposed of in reliance upon this clause (l) shall not exceed, during the term of this Agreement, the sum of (A) $300,000,000 and (B) the amount of any proceeds received by the Company or any Restricted Subsidiary in connection with the Specified Asset Sale and (ii) no Event of Default has occurred and is continuing at the time of such sale, transfer, lease or other disposition or would result therefrom;</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sales, transfers, leases, licenses and other dispositions permitted by clauses (k) and (l) shall be made for fair value (as determined in good faith by the Borrowers), and at least 75% of the aggregate consideration from all sales, transfers, leases and other dispositions permitted by clauses (k) and (l) and made on or after the Effective Date, on a cumulative basis, is in the form of cash or cash equivalents;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 any consideration in the form of Permitted Investments that are disposed of for cash consideration within 30 Business Days after such sale, transfer or other disposition shall be deemed to be cash consideration in an amount equal to the amount of such cash consideration for purposes of this proviso; (ii) any liabilities (as shown on the Company’s most recent balance sheet provided hereunder or in the footnotes thereto) of a Borrower or such Restricted Subsidiary, other than liabilities that are by their terms subordinated to the payment in cash of the Obligations, that are assumed by the transferee with respect to the applicable sale, transfer, lease or other disposition and for which the Borrowers and all the Restricted Subsidiaries shall have been validly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1428" w:right="339" w:bottom="1440" w:gutter="0" w:footer="0" w:header="0"/>
        </w:sectPr>
      </w:pPr>
    </w:p>
    <w:bookmarkStart w:id="205" w:name="page206"/>
    <w:bookmarkEnd w:id="205"/>
    <w:p>
      <w:pPr>
        <w:jc w:val="both"/>
        <w:spacing w:after="0" w:line="260" w:lineRule="auto"/>
        <w:rPr>
          <w:sz w:val="20"/>
          <w:szCs w:val="20"/>
          <w:color w:val="auto"/>
        </w:rPr>
      </w:pPr>
      <w:r>
        <w:rPr>
          <w:rFonts w:ascii="Arial" w:cs="Arial" w:eastAsia="Arial" w:hAnsi="Arial"/>
          <w:sz w:val="21"/>
          <w:szCs w:val="21"/>
          <w:color w:val="auto"/>
        </w:rPr>
        <w:t>by all applicable creditors in writing shall be deemed to be cash consideration in an amount equal to the liabilities so assumed; and (iii) any Designated Non-Cash Consideration received by such Borrower or such Restricted Subsidiary in respect of any such sale, transfer, lease or other disposition having an aggregate fair market value, taken together with all other Designated Non-Cash Consideration received pursuant to this clause (iii) that is at that time outstanding, not in excess of $10,000,000 at the time of the receipt of such Designated Non-Cash Consideration (with the fair market value of each item of Designated Non-Cash Consideration being measured at the time received and without giving effect to subsequent changes in value) shall be deemed to be cash consideration.</w:t>
      </w:r>
    </w:p>
    <w:p>
      <w:pPr>
        <w:spacing w:after="0" w:line="18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u w:val="single" w:color="auto"/>
          <w:color w:val="auto"/>
        </w:rPr>
        <w:t>Use of Proceeds and Letters of Credit</w:t>
      </w:r>
      <w:r>
        <w:rPr>
          <w:rFonts w:ascii="Arial" w:cs="Arial" w:eastAsia="Arial" w:hAnsi="Arial"/>
          <w:sz w:val="21"/>
          <w:szCs w:val="21"/>
          <w:color w:val="auto"/>
        </w:rPr>
        <w:t>. No part of the proceeds of any Loan will be used, whether directly or indirectly, for any purpose that entails a violation of any of the regulations of the Federal Reserve Board, including Regulations T, U and X. The Borrowers will not request any Borrowing or Letter of Credit, and the Borrowers shall not use, and shall procure that their Subsidiaries and their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79"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Restricted Payments; Certain Payments of Junior Indebtedness</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343" w:lineRule="auto"/>
        <w:tabs>
          <w:tab w:leader="none" w:pos="111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Borrowers will not, nor will they permit any of their Restricted Subsidiaries to, declare or make, or agree to pay or make, directly or indirectly, any Restricted Payment, or incur any obligation (contingent or otherwise) to do so, except that:</w:t>
      </w:r>
    </w:p>
    <w:p>
      <w:pPr>
        <w:spacing w:after="0" w:line="104" w:lineRule="exact"/>
        <w:rPr>
          <w:rFonts w:ascii="Arial" w:cs="Arial" w:eastAsia="Arial" w:hAnsi="Arial"/>
          <w:sz w:val="19"/>
          <w:szCs w:val="19"/>
          <w:color w:val="auto"/>
        </w:rPr>
      </w:pPr>
    </w:p>
    <w:p>
      <w:pPr>
        <w:ind w:left="1720" w:hanging="416"/>
        <w:spacing w:after="0"/>
        <w:tabs>
          <w:tab w:leader="none" w:pos="172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Permitted Tax Distributions;</w:t>
      </w:r>
    </w:p>
    <w:p>
      <w:pPr>
        <w:spacing w:after="0" w:line="219" w:lineRule="exact"/>
        <w:rPr>
          <w:rFonts w:ascii="Arial" w:cs="Arial" w:eastAsia="Arial" w:hAnsi="Arial"/>
          <w:sz w:val="22"/>
          <w:szCs w:val="22"/>
          <w:color w:val="auto"/>
        </w:rPr>
      </w:pPr>
    </w:p>
    <w:p>
      <w:pPr>
        <w:jc w:val="both"/>
        <w:ind w:left="660" w:firstLine="644"/>
        <w:spacing w:after="0" w:line="253" w:lineRule="auto"/>
        <w:tabs>
          <w:tab w:leader="none" w:pos="1899"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any Restricted Subsidiary may declare and pay dividends or make other distributions with respect to its Equity Interests, or make other Restricted Payments in respect of its Equity Interests, in each case ratably to the holders of such Equity Interests;</w:t>
      </w:r>
    </w:p>
    <w:p>
      <w:pPr>
        <w:spacing w:after="0" w:line="185" w:lineRule="exact"/>
        <w:rPr>
          <w:rFonts w:ascii="Arial" w:cs="Arial" w:eastAsia="Arial" w:hAnsi="Arial"/>
          <w:sz w:val="22"/>
          <w:szCs w:val="22"/>
          <w:color w:val="auto"/>
        </w:rPr>
      </w:pPr>
    </w:p>
    <w:p>
      <w:pPr>
        <w:ind w:left="1840" w:hanging="536"/>
        <w:spacing w:after="0"/>
        <w:tabs>
          <w:tab w:leader="none" w:pos="184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86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Borrowers may declare and pay dividends with respect to their Equity Interests payable solely in shares of Qualified Equity Interests;</w:t>
      </w:r>
    </w:p>
    <w:p>
      <w:pPr>
        <w:spacing w:after="0" w:line="174" w:lineRule="exact"/>
        <w:rPr>
          <w:rFonts w:ascii="Arial" w:cs="Arial" w:eastAsia="Arial" w:hAnsi="Arial"/>
          <w:sz w:val="22"/>
          <w:szCs w:val="22"/>
          <w:color w:val="auto"/>
        </w:rPr>
      </w:pPr>
    </w:p>
    <w:p>
      <w:pPr>
        <w:jc w:val="both"/>
        <w:ind w:left="660" w:firstLine="644"/>
        <w:spacing w:after="0" w:line="312" w:lineRule="auto"/>
        <w:tabs>
          <w:tab w:leader="none" w:pos="1869"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 Borrowers may make Restricted Payments, not exceeding $25,000,000 during any fiscal year, for the repurchase, retirement, cancellation or other acquisition or retirement for value of Equity Interests of the Borrowers and the Restricted Subsidiaries held by any future, present or former employee, director, manager or consultant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28" w:right="339" w:bottom="1440" w:gutter="0" w:footer="0" w:header="0"/>
        </w:sectPr>
      </w:pPr>
    </w:p>
    <w:bookmarkStart w:id="206" w:name="page207"/>
    <w:bookmarkEnd w:id="206"/>
    <w:p>
      <w:pPr>
        <w:ind w:left="660" w:right="20"/>
        <w:spacing w:after="0" w:line="287" w:lineRule="auto"/>
        <w:rPr>
          <w:sz w:val="20"/>
          <w:szCs w:val="20"/>
          <w:color w:val="auto"/>
        </w:rPr>
      </w:pPr>
      <w:r>
        <w:rPr>
          <w:rFonts w:ascii="Arial" w:cs="Arial" w:eastAsia="Arial" w:hAnsi="Arial"/>
          <w:sz w:val="21"/>
          <w:szCs w:val="21"/>
          <w:color w:val="auto"/>
        </w:rPr>
        <w:t>Borrowers and the Restricted Subsidiaries pursuant to any management equity plan or stock option plan or any other management or employee benefit plan or agreement, or any stock subscription or stockholder agreement;</w:t>
      </w:r>
    </w:p>
    <w:p>
      <w:pPr>
        <w:spacing w:after="0" w:line="151" w:lineRule="exact"/>
        <w:rPr>
          <w:sz w:val="20"/>
          <w:szCs w:val="20"/>
          <w:color w:val="auto"/>
        </w:rPr>
      </w:pPr>
    </w:p>
    <w:p>
      <w:pPr>
        <w:ind w:left="1880" w:hanging="576"/>
        <w:spacing w:after="0"/>
        <w:tabs>
          <w:tab w:leader="none" w:pos="188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660" w:firstLine="644"/>
        <w:spacing w:after="0" w:line="343" w:lineRule="auto"/>
        <w:tabs>
          <w:tab w:leader="none" w:pos="1937"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Borrowers may make cash payments in lieu of the issuance of fractional shares in connection with the exercise of warrants, options or other securities convertible into or exchangeable for Equity Interests in the Borrowers;</w:t>
      </w:r>
    </w:p>
    <w:p>
      <w:pPr>
        <w:spacing w:after="0" w:line="104" w:lineRule="exact"/>
        <w:rPr>
          <w:rFonts w:ascii="Arial" w:cs="Arial" w:eastAsia="Arial" w:hAnsi="Arial"/>
          <w:sz w:val="19"/>
          <w:szCs w:val="19"/>
          <w:color w:val="auto"/>
        </w:rPr>
      </w:pPr>
    </w:p>
    <w:p>
      <w:pPr>
        <w:jc w:val="both"/>
        <w:ind w:left="660" w:firstLine="644"/>
        <w:spacing w:after="0" w:line="248" w:lineRule="auto"/>
        <w:tabs>
          <w:tab w:leader="none" w:pos="1973"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Borrowers may repurchase Equity Interests upon the exercise or vesting of stock options and restricted stock (a) if such Equity Interests represent a portion of the exercise price of such stock options or restricted stock (and related redemption or cancellation of shares for payment of taxes or other amounts with respect to such exercise or vesting) or (b) in order to reduce the dilutive effect of such exercise (so long as the amount of Equity Interests repurchased is in an equal or lesser amount to the amount exercised);</w:t>
      </w:r>
    </w:p>
    <w:p>
      <w:pPr>
        <w:spacing w:after="0" w:line="191" w:lineRule="exact"/>
        <w:rPr>
          <w:rFonts w:ascii="Arial" w:cs="Arial" w:eastAsia="Arial" w:hAnsi="Arial"/>
          <w:sz w:val="22"/>
          <w:szCs w:val="22"/>
          <w:color w:val="auto"/>
        </w:rPr>
      </w:pPr>
    </w:p>
    <w:p>
      <w:pPr>
        <w:jc w:val="both"/>
        <w:ind w:left="660" w:firstLine="644"/>
        <w:spacing w:after="0" w:line="253" w:lineRule="auto"/>
        <w:tabs>
          <w:tab w:leader="none" w:pos="1866" w:val="left"/>
        </w:tabs>
        <w:numPr>
          <w:ilvl w:val="1"/>
          <w:numId w:val="161"/>
        </w:numPr>
        <w:rPr>
          <w:rFonts w:ascii="Arial" w:cs="Arial" w:eastAsia="Arial" w:hAnsi="Arial"/>
          <w:sz w:val="22"/>
          <w:szCs w:val="22"/>
          <w:color w:val="auto"/>
        </w:rPr>
      </w:pPr>
      <w:r>
        <w:rPr>
          <w:rFonts w:ascii="Arial" w:cs="Arial" w:eastAsia="Arial" w:hAnsi="Arial"/>
          <w:sz w:val="22"/>
          <w:szCs w:val="22"/>
          <w:color w:val="auto"/>
        </w:rPr>
        <w:t>concurrently with any issuance of Qualified Equity Interests, the Borrowers may redeem, purchase or retire any Equity Interests of the Borrowers using the proceeds of, or convert or exchange any Equity Interests of the Borrowers for, such Qualified Equity Interests;</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81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Company may declare and make Restricted Payments so long as (A) after giving effect thereto on a Pro Forma Basis, the Total Leverage Ratio does not exceed 2.75 to 1.00 and (B) no Event of Default has occurred and is continuing or would result therefrom;</w:t>
      </w:r>
    </w:p>
    <w:p>
      <w:pPr>
        <w:spacing w:after="0" w:line="185" w:lineRule="exact"/>
        <w:rPr>
          <w:rFonts w:ascii="Arial" w:cs="Arial" w:eastAsia="Arial" w:hAnsi="Arial"/>
          <w:sz w:val="22"/>
          <w:szCs w:val="22"/>
          <w:color w:val="auto"/>
        </w:rPr>
      </w:pPr>
    </w:p>
    <w:p>
      <w:pPr>
        <w:jc w:val="both"/>
        <w:ind w:left="660" w:firstLine="644"/>
        <w:spacing w:after="0" w:line="265" w:lineRule="auto"/>
        <w:tabs>
          <w:tab w:leader="none" w:pos="1846" w:val="left"/>
        </w:tabs>
        <w:numPr>
          <w:ilvl w:val="1"/>
          <w:numId w:val="161"/>
        </w:numPr>
        <w:rPr>
          <w:rFonts w:ascii="Arial" w:cs="Arial" w:eastAsia="Arial" w:hAnsi="Arial"/>
          <w:sz w:val="21"/>
          <w:szCs w:val="21"/>
          <w:color w:val="auto"/>
        </w:rPr>
      </w:pPr>
      <w:r>
        <w:rPr>
          <w:rFonts w:ascii="Arial" w:cs="Arial" w:eastAsia="Arial" w:hAnsi="Arial"/>
          <w:sz w:val="21"/>
          <w:szCs w:val="21"/>
          <w:color w:val="auto"/>
        </w:rPr>
        <w:t xml:space="preserve">the Borrowers may declare and make Restricted Payments in an aggregate amount not to exceed, at the time such dividends are paid and after giving effect thereto, the greater of (A) $100,000,000 and (B) 1.00% of Consolidated Total Assets (reduced by the amount of any prepayments of Indebtedness pursuant to </w:t>
      </w:r>
      <w:r>
        <w:rPr>
          <w:rFonts w:ascii="Arial" w:cs="Arial" w:eastAsia="Arial" w:hAnsi="Arial"/>
          <w:sz w:val="21"/>
          <w:szCs w:val="21"/>
          <w:u w:val="single" w:color="auto"/>
          <w:color w:val="auto"/>
        </w:rPr>
        <w:t>Section 6.08(b)(iv)</w:t>
      </w:r>
      <w:r>
        <w:rPr>
          <w:rFonts w:ascii="Arial" w:cs="Arial" w:eastAsia="Arial" w:hAnsi="Arial"/>
          <w:sz w:val="21"/>
          <w:szCs w:val="21"/>
          <w:color w:val="auto"/>
        </w:rPr>
        <w:t>), so long as no Default or Event of Default has occurred and is continuing or would result therefrom.</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19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Borrowers will not, nor will they permit any of their Restricted Subsidiaries to, prepay, redeem, purchase or otherwise satisfy any Material Indebtedness described in clauses (a) or (b) of the definition thereof, the Senior Unsecured Notes or any other Indebtedness for borrowed money that is subordinated in right of payment to or is unsecured or secured by a Lien that is junior to the Indebtedness incurred hereunder, except for:</w:t>
      </w:r>
    </w:p>
    <w:p>
      <w:pPr>
        <w:spacing w:after="0" w:line="187" w:lineRule="exact"/>
        <w:rPr>
          <w:rFonts w:ascii="Arial" w:cs="Arial" w:eastAsia="Arial" w:hAnsi="Arial"/>
          <w:sz w:val="22"/>
          <w:szCs w:val="22"/>
          <w:color w:val="auto"/>
        </w:rPr>
      </w:pPr>
    </w:p>
    <w:p>
      <w:pPr>
        <w:jc w:val="both"/>
        <w:ind w:left="660" w:firstLine="644"/>
        <w:spacing w:after="0" w:line="253" w:lineRule="auto"/>
        <w:tabs>
          <w:tab w:leader="none" w:pos="1784" w:val="left"/>
        </w:tabs>
        <w:numPr>
          <w:ilvl w:val="1"/>
          <w:numId w:val="162"/>
        </w:numPr>
        <w:rPr>
          <w:rFonts w:ascii="Arial" w:cs="Arial" w:eastAsia="Arial" w:hAnsi="Arial"/>
          <w:sz w:val="22"/>
          <w:szCs w:val="22"/>
          <w:color w:val="auto"/>
        </w:rPr>
      </w:pPr>
      <w:r>
        <w:rPr>
          <w:rFonts w:ascii="Arial" w:cs="Arial" w:eastAsia="Arial" w:hAnsi="Arial"/>
          <w:sz w:val="22"/>
          <w:szCs w:val="22"/>
          <w:color w:val="auto"/>
        </w:rPr>
        <w:t>payments of or in respect of any such Indebtedness if, after giving effect thereto on a Pro Forma Basis, the Total Leverage Ratio is less than 2.75 to 1.00, so long as no Default or Event of Default has occurred and is continuing or would result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28" w:right="339" w:bottom="1440" w:gutter="0" w:footer="0" w:header="0"/>
        </w:sectPr>
      </w:pPr>
    </w:p>
    <w:bookmarkStart w:id="207" w:name="page208"/>
    <w:bookmarkEnd w:id="207"/>
    <w:p>
      <w:pPr>
        <w:ind w:left="660" w:firstLine="644"/>
        <w:spacing w:after="0" w:line="343" w:lineRule="auto"/>
        <w:tabs>
          <w:tab w:leader="none" w:pos="185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regularly scheduled interest and principal payments as and when due in respect of any such Indebtedness, other than payments in respect of such Indebtedness prohibited by the subordination provisions thereof;</w:t>
      </w:r>
    </w:p>
    <w:p>
      <w:pPr>
        <w:spacing w:after="0" w:line="104" w:lineRule="exact"/>
        <w:rPr>
          <w:rFonts w:ascii="Arial" w:cs="Arial" w:eastAsia="Arial" w:hAnsi="Arial"/>
          <w:sz w:val="19"/>
          <w:szCs w:val="19"/>
          <w:color w:val="auto"/>
        </w:rPr>
      </w:pPr>
    </w:p>
    <w:p>
      <w:pPr>
        <w:ind w:left="1840" w:hanging="536"/>
        <w:spacing w:after="0"/>
        <w:tabs>
          <w:tab w:leader="none" w:pos="18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Refinancing Indebtedness incurred to refinance Indebtedness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65" w:lineRule="auto"/>
        <w:tabs>
          <w:tab w:leader="none" w:pos="1904"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payments of or in respect of any such Indebtedness in an amount equal to, at the time such payments are made and after giving effect thereto, the greater of (A) $150,000,000 (reduced by any amounts declared and paid as Restricted Payments pursuant to </w:t>
      </w:r>
      <w:r>
        <w:rPr>
          <w:rFonts w:ascii="Arial" w:cs="Arial" w:eastAsia="Arial" w:hAnsi="Arial"/>
          <w:sz w:val="21"/>
          <w:szCs w:val="21"/>
          <w:u w:val="single" w:color="auto"/>
          <w:color w:val="auto"/>
        </w:rPr>
        <w:t>Section 6.08(a)(xi)</w:t>
      </w:r>
      <w:r>
        <w:rPr>
          <w:rFonts w:ascii="Arial" w:cs="Arial" w:eastAsia="Arial" w:hAnsi="Arial"/>
          <w:sz w:val="21"/>
          <w:szCs w:val="21"/>
          <w:color w:val="auto"/>
        </w:rPr>
        <w:t>), and (B) 1.50% of Consolidated Total Assets, so long as no Default or Event of Default has occurred and is continuing or would result therefrom.</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The Borrowers will not, nor will they permit any of their Restricted Subsidiaries to, sell, lease, license or otherwise transfer any assets to, or purchase, lease, license or otherwise acquire any assets from, or otherwise engage in any other transactions involving aggregate consideration in excess of $15,000,000 with, any of their Affiliates, except (i) transactions that are at prices and on terms and conditions not materially less favorable to the Borrowers or such Restricted Subsidiary than could be obtained on an arm’s-length basis from unrelated third parties, (ii) transactions between or among the Borrowers and any Restricted Subsidiaries not involving any other Affiliate, (iii) advances, equity issuances, other Restricted Payments permitted under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and Investments permitted under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and any other transaction involving the Borrowers and the Restricted Subsidiaries permitted under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(to the extent such transaction is between the Borrowers and one or more Restricted Subsidiaries or between two or more Restricted Subsidiaries) and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(to the extent such transaction is not required to be for fair value thereunder, (iv) the payment of reasonable fees to directors of the Borrowers or any Restricted Subsidiary who are not employees of the Borrowers or any Restricted Subsidiary, and compensation and employee benefit arrangements paid to, and indemnities provided for the benefit of, directors, officers, consultants or employees of the Borrowers or the Restricted Subsidiaries in the ordinary course of business, (v) any issuances of securities or other payments, awards or grants in cash, securities or otherwise pursuant to, or the funding of, employment agreements, stock options and stock ownership plans approved by the Borrowers’ board of directors and (vi) employment and severance arrangements entered into in the ordinary course of business between the Borrowers or any Restricted Subsidiary and any employee thereof and approved by the applicable Borrower’s board of directors.</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Restrictive Agreements</w:t>
      </w:r>
      <w:r>
        <w:rPr>
          <w:rFonts w:ascii="Arial" w:cs="Arial" w:eastAsia="Arial" w:hAnsi="Arial"/>
          <w:sz w:val="22"/>
          <w:szCs w:val="22"/>
          <w:color w:val="auto"/>
        </w:rPr>
        <w:t xml:space="preserve">. The Borrowers will not, nor will they permit any of their Restricted Subsidiaries to, directly or indirectly, enter into, incur or permit to exist any agreement or other arrangement that prohibits, restricts or imposes any condition upon (a) the ability of the Borrowers or any Restricted Subsidiary to create, incur or permit to exist any Lien upon any of their assets in favor of the Collateral Agent to secure the Obligations or (b) the ability of any Restricted Subsidiary to make or repay loans or advances to the Borrowers or any Restricted Subsidiary, to Guarantee the Obligations, or to transfer any of its properties or assets to the Borrowers or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foregoing shall not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28" w:right="339" w:bottom="1440" w:gutter="0" w:footer="0" w:header="0"/>
        </w:sectPr>
      </w:pPr>
    </w:p>
    <w:bookmarkStart w:id="208" w:name="page209"/>
    <w:bookmarkEnd w:id="208"/>
    <w:p>
      <w:pPr>
        <w:jc w:val="both"/>
        <w:ind w:firstLine="8"/>
        <w:spacing w:after="0" w:line="284" w:lineRule="auto"/>
        <w:tabs>
          <w:tab w:leader="none" w:pos="36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restrictions and conditions imposed by law or by this Agreement, any other Loan Document or any document governing any Refinancing Indebtedness in respect of the Loan Documents, (B) restrictions and conditions imposed by the Senior Unsecured Notes Documents as in effect on the Effective Date or any agreement or document evidencing Refinancing Indebtedness in respect of the Senior Unsecured Notes Documents permitted under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restrictions and conditions contained in any such agreement or document taken as a whole are not materially less favorable to the Lenders than the restrictions and conditions imposed by the Senior Unsecured Notes Documents, (C) in the case of any Restricted Subsidiary that is not a wholly owned Restricted Subsidiary, restrictions and conditions imposed by its organizational documents or any related joint venture or similar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apply only to such Restricted Subsidiary, (D) customary restrictions and conditions contained in agreements relating to the sale of a Restricted Subsidiary or any assets of the Borrowers or any Restricted Subsidiary, in each case pending such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apply only to such Restricted Subsidiary or the assets that are to be sold and, in each case, such sale is permitted hereunder, (E) restrictions and conditions existing on the Effective Date and identified on </w:t>
      </w:r>
      <w:r>
        <w:rPr>
          <w:rFonts w:ascii="Arial" w:cs="Arial" w:eastAsia="Arial" w:hAnsi="Arial"/>
          <w:sz w:val="19"/>
          <w:szCs w:val="19"/>
          <w:u w:val="single" w:color="auto"/>
          <w:color w:val="auto"/>
        </w:rPr>
        <w:t>Schedule 6.10</w:t>
      </w:r>
      <w:r>
        <w:rPr>
          <w:rFonts w:ascii="Arial" w:cs="Arial" w:eastAsia="Arial" w:hAnsi="Arial"/>
          <w:sz w:val="19"/>
          <w:szCs w:val="19"/>
          <w:color w:val="auto"/>
        </w:rPr>
        <w:t xml:space="preserve"> (and any extension or renewal of, or any amendment, modification or replacement of the documents set forth on such schedule that do not expand the scope of, any such restriction or condition in any material respect) and (F) restrictions and conditions imposed by any agreement relating to Indebtedness of any Restricted Subsidiary in existence at the time such Restricted Subsidiary became a Restricted Subsidiary and otherwise permitted by </w:t>
      </w:r>
      <w:r>
        <w:rPr>
          <w:rFonts w:ascii="Arial" w:cs="Arial" w:eastAsia="Arial" w:hAnsi="Arial"/>
          <w:sz w:val="19"/>
          <w:szCs w:val="19"/>
          <w:u w:val="single" w:color="auto"/>
          <w:color w:val="auto"/>
        </w:rPr>
        <w:t>Section 6.01(g)</w:t>
      </w:r>
      <w:r>
        <w:rPr>
          <w:rFonts w:ascii="Arial" w:cs="Arial" w:eastAsia="Arial" w:hAnsi="Arial"/>
          <w:sz w:val="19"/>
          <w:szCs w:val="19"/>
          <w:color w:val="auto"/>
        </w:rPr>
        <w:t xml:space="preserve"> or to any restrictions in any Indebtedness of a non-Loan Party Restricted Subsidiary permitted by </w:t>
      </w:r>
      <w:r>
        <w:rPr>
          <w:rFonts w:ascii="Arial" w:cs="Arial" w:eastAsia="Arial" w:hAnsi="Arial"/>
          <w:sz w:val="19"/>
          <w:szCs w:val="19"/>
          <w:u w:val="single" w:color="auto"/>
          <w:color w:val="auto"/>
        </w:rPr>
        <w:t>Section 6.01(h)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6.01(s)</w:t>
      </w:r>
      <w:r>
        <w:rPr>
          <w:rFonts w:ascii="Arial" w:cs="Arial" w:eastAsia="Arial" w:hAnsi="Arial"/>
          <w:sz w:val="19"/>
          <w:szCs w:val="19"/>
          <w:color w:val="auto"/>
        </w:rPr>
        <w:t xml:space="preserve">, in each case if such restrictions and conditions apply only to such Restricted Subsidiary and its subsidiaries; and (ii) clause (a) of the foregoing shall not apply to (A) restrictions and conditions imposed by any agreement relating to secured Indebtedness permitted by </w:t>
      </w:r>
      <w:r>
        <w:rPr>
          <w:rFonts w:ascii="Arial" w:cs="Arial" w:eastAsia="Arial" w:hAnsi="Arial"/>
          <w:sz w:val="19"/>
          <w:szCs w:val="19"/>
          <w:u w:val="single" w:color="auto"/>
          <w:color w:val="auto"/>
        </w:rPr>
        <w:t>Section 6.01(f)</w:t>
      </w:r>
      <w:r>
        <w:rPr>
          <w:rFonts w:ascii="Arial" w:cs="Arial" w:eastAsia="Arial" w:hAnsi="Arial"/>
          <w:sz w:val="19"/>
          <w:szCs w:val="19"/>
          <w:color w:val="auto"/>
        </w:rPr>
        <w:t xml:space="preserve"> if such restrictions and conditions apply only to the assets securing such Indebtedness and (B) customary provisions in leases and other agreements restricting the assignment thereof.</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u w:val="single" w:color="auto"/>
          <w:color w:val="auto"/>
        </w:rPr>
        <w:t>Amendment of Material Documents</w:t>
      </w:r>
      <w:r>
        <w:rPr>
          <w:rFonts w:ascii="Arial" w:cs="Arial" w:eastAsia="Arial" w:hAnsi="Arial"/>
          <w:sz w:val="21"/>
          <w:szCs w:val="21"/>
          <w:color w:val="auto"/>
        </w:rPr>
        <w:t xml:space="preserve">. The Borrowers will not, nor will they permit any of their Restricted Subsidiaries to (a) amend, modify or waive their certificate of incorporation, bylaws or other organizational documents or (b) amend, modify, waive or otherwise change, or consent or agree to any amendment, modification, waiver or other change to, any of the terms of any Material Indebtedness, including the Senior Unsecured Notes, in each case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if the effect of such amendment, modification or waiver would be materially adverse to the Lenders and, in the case of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only, other than amendments or modifications that otherwise comply with the definition of Refinancing Indebtedness that may be incurred to refinance any such Material Indebtedness.</w:t>
      </w:r>
    </w:p>
    <w:p>
      <w:pPr>
        <w:spacing w:after="0" w:line="1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Interest Coverage Ratio</w:t>
      </w:r>
      <w:r>
        <w:rPr>
          <w:rFonts w:ascii="Arial" w:cs="Arial" w:eastAsia="Arial" w:hAnsi="Arial"/>
          <w:sz w:val="22"/>
          <w:szCs w:val="22"/>
          <w:color w:val="auto"/>
        </w:rPr>
        <w:t>. The Company will not permit the Interest Coverage Ratio as of the last day of any period of four consecutive fiscal quarters of the Company to be less than 3.00 to 1.00.</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Total Leverage Ratio</w:t>
      </w:r>
      <w:r>
        <w:rPr>
          <w:rFonts w:ascii="Arial" w:cs="Arial" w:eastAsia="Arial" w:hAnsi="Arial"/>
          <w:sz w:val="22"/>
          <w:szCs w:val="22"/>
          <w:color w:val="auto"/>
        </w:rPr>
        <w:t>. Commencing with the fiscal quarter ending June 30, 2021, the Company will not permit the Total Leverage Ratio as of the last day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28" w:right="339" w:bottom="1440" w:gutter="0" w:footer="0" w:header="0"/>
        </w:sectPr>
      </w:pPr>
    </w:p>
    <w:bookmarkStart w:id="209" w:name="page210"/>
    <w:bookmarkEnd w:id="209"/>
    <w:p>
      <w:pPr>
        <w:spacing w:after="0"/>
        <w:rPr>
          <w:sz w:val="20"/>
          <w:szCs w:val="20"/>
          <w:color w:val="auto"/>
        </w:rPr>
      </w:pPr>
      <w:r>
        <w:rPr>
          <w:rFonts w:ascii="Arial" w:cs="Arial" w:eastAsia="Arial" w:hAnsi="Arial"/>
          <w:sz w:val="19"/>
          <w:szCs w:val="19"/>
          <w:color w:val="auto"/>
        </w:rPr>
        <w:t>fiscal quarter of the Company ending during any period set forth below, to exceed the ratio set forth below opposite such period:</w:t>
      </w:r>
    </w:p>
    <w:p>
      <w:pPr>
        <w:spacing w:after="0" w:line="269" w:lineRule="exact"/>
        <w:rPr>
          <w:sz w:val="20"/>
          <w:szCs w:val="20"/>
          <w:color w:val="auto"/>
        </w:rPr>
      </w:pPr>
    </w:p>
    <w:tbl>
      <w:tblPr>
        <w:tblLayout w:type="fixed"/>
        <w:tblInd w:w="830" w:type="dxa"/>
        <w:tblCellMar>
          <w:top w:w="0" w:type="dxa"/>
          <w:left w:w="0" w:type="dxa"/>
          <w:bottom w:w="0" w:type="dxa"/>
          <w:right w:w="0" w:type="dxa"/>
        </w:tblCellMar>
      </w:tblPr>
      <w:tr>
        <w:trPr>
          <w:trHeight w:val="216"/>
        </w:trPr>
        <w:tc>
          <w:tcPr>
            <w:tcW w:w="60" w:type="dxa"/>
            <w:vAlign w:val="bottom"/>
            <w:tcBorders>
              <w:top w:val="single" w:sz="8" w:color="auto"/>
              <w:left w:val="single" w:sz="8" w:color="auto"/>
            </w:tcBorders>
          </w:tcPr>
          <w:p>
            <w:pPr>
              <w:spacing w:after="0"/>
              <w:rPr>
                <w:sz w:val="18"/>
                <w:szCs w:val="18"/>
                <w:color w:val="auto"/>
              </w:rPr>
            </w:pPr>
          </w:p>
        </w:tc>
        <w:tc>
          <w:tcPr>
            <w:tcW w:w="5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Fiscal Quarter Ending</w:t>
            </w:r>
          </w:p>
        </w:tc>
        <w:tc>
          <w:tcPr>
            <w:tcW w:w="60" w:type="dxa"/>
            <w:vAlign w:val="bottom"/>
            <w:tcBorders>
              <w:top w:val="single" w:sz="8" w:color="auto"/>
            </w:tcBorders>
          </w:tcPr>
          <w:p>
            <w:pPr>
              <w:spacing w:after="0"/>
              <w:rPr>
                <w:sz w:val="18"/>
                <w:szCs w:val="18"/>
                <w:color w:val="auto"/>
              </w:rPr>
            </w:pPr>
          </w:p>
        </w:tc>
        <w:tc>
          <w:tcPr>
            <w:tcW w:w="3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 Leverage Ratio</w:t>
            </w:r>
          </w:p>
        </w:tc>
      </w:tr>
      <w:tr>
        <w:trPr>
          <w:trHeight w:val="48"/>
        </w:trPr>
        <w:tc>
          <w:tcPr>
            <w:tcW w:w="60" w:type="dxa"/>
            <w:vAlign w:val="bottom"/>
            <w:tcBorders>
              <w:left w:val="single" w:sz="8" w:color="auto"/>
              <w:bottom w:val="single" w:sz="8" w:color="auto"/>
            </w:tcBorders>
          </w:tcPr>
          <w:p>
            <w:pPr>
              <w:spacing w:after="0"/>
              <w:rPr>
                <w:sz w:val="4"/>
                <w:szCs w:val="4"/>
                <w:color w:val="auto"/>
              </w:rPr>
            </w:pPr>
          </w:p>
        </w:tc>
        <w:tc>
          <w:tcPr>
            <w:tcW w:w="1600" w:type="dxa"/>
            <w:vAlign w:val="bottom"/>
            <w:tcBorders>
              <w:top w:val="single" w:sz="8" w:color="auto"/>
              <w:bottom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520" w:type="dxa"/>
            <w:vAlign w:val="bottom"/>
            <w:tcBorders>
              <w:top w:val="single" w:sz="8" w:color="auto"/>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June 30, 2021</w:t>
            </w:r>
          </w:p>
        </w:tc>
        <w:tc>
          <w:tcPr>
            <w:tcW w:w="60" w:type="dxa"/>
            <w:vAlign w:val="bottom"/>
          </w:tcPr>
          <w:p>
            <w:pPr>
              <w:spacing w:after="0"/>
              <w:rPr>
                <w:sz w:val="20"/>
                <w:szCs w:val="20"/>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5.50 to 1.00</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September 30, 2021</w:t>
            </w:r>
          </w:p>
        </w:tc>
        <w:tc>
          <w:tcPr>
            <w:tcW w:w="60" w:type="dxa"/>
            <w:vAlign w:val="bottom"/>
          </w:tcPr>
          <w:p>
            <w:pPr>
              <w:spacing w:after="0"/>
              <w:rPr>
                <w:sz w:val="20"/>
                <w:szCs w:val="20"/>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5.25 to 1.00</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December 31, 2021</w:t>
            </w:r>
          </w:p>
        </w:tc>
        <w:tc>
          <w:tcPr>
            <w:tcW w:w="60" w:type="dxa"/>
            <w:vAlign w:val="bottom"/>
          </w:tcPr>
          <w:p>
            <w:pPr>
              <w:spacing w:after="0"/>
              <w:rPr>
                <w:sz w:val="20"/>
                <w:szCs w:val="20"/>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5.25 to 1.00</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March 31, 2022</w:t>
            </w:r>
          </w:p>
        </w:tc>
        <w:tc>
          <w:tcPr>
            <w:tcW w:w="60" w:type="dxa"/>
            <w:vAlign w:val="bottom"/>
          </w:tcPr>
          <w:p>
            <w:pPr>
              <w:spacing w:after="0"/>
              <w:rPr>
                <w:sz w:val="20"/>
                <w:szCs w:val="20"/>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5.00 to 1.00</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June 30, 2022</w:t>
            </w:r>
          </w:p>
        </w:tc>
        <w:tc>
          <w:tcPr>
            <w:tcW w:w="60" w:type="dxa"/>
            <w:vAlign w:val="bottom"/>
          </w:tcPr>
          <w:p>
            <w:pPr>
              <w:spacing w:after="0"/>
              <w:rPr>
                <w:sz w:val="20"/>
                <w:szCs w:val="20"/>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4.75 to 1.00</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September 30, 2022</w:t>
            </w:r>
          </w:p>
        </w:tc>
        <w:tc>
          <w:tcPr>
            <w:tcW w:w="60" w:type="dxa"/>
            <w:vAlign w:val="bottom"/>
          </w:tcPr>
          <w:p>
            <w:pPr>
              <w:spacing w:after="0"/>
              <w:rPr>
                <w:sz w:val="20"/>
                <w:szCs w:val="20"/>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4.50 to 1.00</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December 31, 2022</w:t>
            </w:r>
          </w:p>
        </w:tc>
        <w:tc>
          <w:tcPr>
            <w:tcW w:w="60" w:type="dxa"/>
            <w:vAlign w:val="bottom"/>
          </w:tcPr>
          <w:p>
            <w:pPr>
              <w:spacing w:after="0"/>
              <w:rPr>
                <w:sz w:val="20"/>
                <w:szCs w:val="20"/>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4.00 to 1.00</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7"/>
        </w:trPr>
        <w:tc>
          <w:tcPr>
            <w:tcW w:w="6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March 31, 2023 and thereafter</w:t>
            </w:r>
          </w:p>
        </w:tc>
        <w:tc>
          <w:tcPr>
            <w:tcW w:w="60" w:type="dxa"/>
            <w:vAlign w:val="bottom"/>
          </w:tcPr>
          <w:p>
            <w:pPr>
              <w:spacing w:after="0"/>
              <w:rPr>
                <w:sz w:val="20"/>
                <w:szCs w:val="20"/>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3.50 to 1.00</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8"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First Lien Leverage Ratio</w:t>
      </w:r>
      <w:r>
        <w:rPr>
          <w:rFonts w:ascii="Arial" w:cs="Arial" w:eastAsia="Arial" w:hAnsi="Arial"/>
          <w:sz w:val="19"/>
          <w:szCs w:val="19"/>
          <w:color w:val="auto"/>
        </w:rPr>
        <w:t>. The Company will not permit the First Lien Leverage Ratio as of the last day of any fiscal quarter of the Company, commencing with the fiscal quarter ending June 30, 2021, to exceed 2.50 to 1.00.</w:t>
      </w:r>
    </w:p>
    <w:p>
      <w:pPr>
        <w:spacing w:after="0" w:line="104"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u w:val="single" w:color="auto"/>
          <w:color w:val="auto"/>
        </w:rPr>
        <w:t>Changes in Fiscal Periods</w:t>
      </w:r>
      <w:r>
        <w:rPr>
          <w:rFonts w:ascii="Arial" w:cs="Arial" w:eastAsia="Arial" w:hAnsi="Arial"/>
          <w:sz w:val="19"/>
          <w:szCs w:val="19"/>
          <w:color w:val="auto"/>
        </w:rPr>
        <w:t>. The Borrowers will neither (a) permit their fiscal year or the fiscal year of any Restricted Subsidiary to end on a day other than December 31, nor (b) change their method of determining fiscal quarters.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60"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Events of Default</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(each such event, an “</w:t>
      </w:r>
      <w:r>
        <w:rPr>
          <w:rFonts w:ascii="Arial" w:cs="Arial" w:eastAsia="Arial" w:hAnsi="Arial"/>
          <w:sz w:val="19"/>
          <w:szCs w:val="19"/>
          <w:u w:val="single" w:color="auto"/>
          <w:color w:val="auto"/>
        </w:rPr>
        <w:t>Event of Default</w:t>
      </w:r>
      <w:r>
        <w:rPr>
          <w:rFonts w:ascii="Arial" w:cs="Arial" w:eastAsia="Arial" w:hAnsi="Arial"/>
          <w:sz w:val="19"/>
          <w:szCs w:val="19"/>
          <w:color w:val="auto"/>
        </w:rPr>
        <w:t>”) shall occur:</w:t>
      </w:r>
    </w:p>
    <w:p>
      <w:pPr>
        <w:spacing w:after="0" w:line="220" w:lineRule="exact"/>
        <w:rPr>
          <w:sz w:val="20"/>
          <w:szCs w:val="20"/>
          <w:color w:val="auto"/>
        </w:rPr>
      </w:pPr>
    </w:p>
    <w:p>
      <w:pPr>
        <w:jc w:val="both"/>
        <w:ind w:right="20" w:firstLine="656"/>
        <w:spacing w:after="0" w:line="253" w:lineRule="auto"/>
        <w:tabs>
          <w:tab w:leader="none" w:pos="119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Borrowers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5" w:lineRule="exact"/>
        <w:rPr>
          <w:rFonts w:ascii="Arial" w:cs="Arial" w:eastAsia="Arial" w:hAnsi="Arial"/>
          <w:sz w:val="22"/>
          <w:szCs w:val="22"/>
          <w:color w:val="auto"/>
        </w:rPr>
      </w:pPr>
    </w:p>
    <w:p>
      <w:pPr>
        <w:jc w:val="both"/>
        <w:ind w:firstLine="656"/>
        <w:spacing w:after="0" w:line="312" w:lineRule="auto"/>
        <w:tabs>
          <w:tab w:leader="none" w:pos="121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Borrowers shall fail to pay any interest on any Loan or any fee or any other amount (other than an amount referred to in clause (a) of this Section) payable under this Agreement or any other Loan Document, when and as the same shall become due and payable, and such failure shall continue unremedied for a period of three (3) Business Days;</w:t>
      </w:r>
    </w:p>
    <w:p>
      <w:pPr>
        <w:spacing w:after="0" w:line="133" w:lineRule="exact"/>
        <w:rPr>
          <w:rFonts w:ascii="Arial" w:cs="Arial" w:eastAsia="Arial" w:hAnsi="Arial"/>
          <w:sz w:val="19"/>
          <w:szCs w:val="19"/>
          <w:color w:val="auto"/>
        </w:rPr>
      </w:pPr>
    </w:p>
    <w:p>
      <w:pPr>
        <w:jc w:val="both"/>
        <w:ind w:firstLine="656"/>
        <w:spacing w:after="0" w:line="250" w:lineRule="auto"/>
        <w:tabs>
          <w:tab w:leader="none" w:pos="124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on and after the Effective Date, any representation or warranty made or deemed made by or on behalf of the Borrowers or any Restricted Subsidiary in this Agreement or any other Loan Document, or in any report, certificate or financial statement furnished pursuant to or in connection with this Agreement or any other Loan Document, shall prove to have been incorrect in any material respect when made or deemed made;</w:t>
      </w:r>
    </w:p>
    <w:p>
      <w:pPr>
        <w:spacing w:after="0" w:line="187" w:lineRule="exact"/>
        <w:rPr>
          <w:rFonts w:ascii="Arial" w:cs="Arial" w:eastAsia="Arial" w:hAnsi="Arial"/>
          <w:sz w:val="22"/>
          <w:szCs w:val="22"/>
          <w:color w:val="auto"/>
        </w:rPr>
      </w:pPr>
    </w:p>
    <w:p>
      <w:pPr>
        <w:ind w:right="20" w:firstLine="656"/>
        <w:spacing w:after="0" w:line="287" w:lineRule="auto"/>
        <w:tabs>
          <w:tab w:leader="none" w:pos="112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on and after the Effective Date, the Borrowers shall fail to observe or perform any covenant, condition or agreement contained in </w:t>
      </w:r>
      <w:r>
        <w:rPr>
          <w:rFonts w:ascii="Arial" w:cs="Arial" w:eastAsia="Arial" w:hAnsi="Arial"/>
          <w:sz w:val="21"/>
          <w:szCs w:val="21"/>
          <w:u w:val="single" w:color="auto"/>
          <w:color w:val="auto"/>
        </w:rPr>
        <w:t>Section 5.02(a)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5.04</w:t>
      </w:r>
      <w:r>
        <w:rPr>
          <w:rFonts w:ascii="Arial" w:cs="Arial" w:eastAsia="Arial" w:hAnsi="Arial"/>
          <w:sz w:val="21"/>
          <w:szCs w:val="21"/>
          <w:color w:val="auto"/>
        </w:rPr>
        <w:t xml:space="preserve"> (with respect to the existence of the Borrowers), </w:t>
      </w:r>
      <w:r>
        <w:rPr>
          <w:rFonts w:ascii="Arial" w:cs="Arial" w:eastAsia="Arial" w:hAnsi="Arial"/>
          <w:sz w:val="21"/>
          <w:szCs w:val="21"/>
          <w:u w:val="single" w:color="auto"/>
          <w:color w:val="auto"/>
        </w:rPr>
        <w:t>5.16</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Article VI</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428" w:right="339" w:bottom="1440" w:gutter="0" w:footer="0" w:header="0"/>
        </w:sectPr>
      </w:pPr>
    </w:p>
    <w:bookmarkStart w:id="210" w:name="page211"/>
    <w:bookmarkEnd w:id="210"/>
    <w:p>
      <w:pPr>
        <w:jc w:val="both"/>
        <w:ind w:firstLine="656"/>
        <w:spacing w:after="0" w:line="250" w:lineRule="auto"/>
        <w:tabs>
          <w:tab w:leader="none" w:pos="110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on and after the Effective Date, any Loan Party shall fail to observe or perform any covenant, condition or agreement contained in this Agreement or any other Loan Document (other than those specified in clause (a), (b) or (d) of this Section), and such failure shall continue unremedied for a period of 30 days after notice thereof from the Administrative Agent or any Lender to the Borrowers;</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11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Borrowers or any Restricted Subsidiary shall fail to make any payment (whether of principal, interest, premium or otherwise and regardless of amount) in respect of any Material Indebtedness when and as the same shall become due and payable (after giving effect to any applicable grace period in respect of such failure under the documentation governing such Material Indebtedness);</w:t>
      </w:r>
    </w:p>
    <w:p>
      <w:pPr>
        <w:spacing w:after="0" w:line="187" w:lineRule="exact"/>
        <w:rPr>
          <w:rFonts w:ascii="Arial" w:cs="Arial" w:eastAsia="Arial" w:hAnsi="Arial"/>
          <w:sz w:val="22"/>
          <w:szCs w:val="22"/>
          <w:color w:val="auto"/>
        </w:rPr>
      </w:pPr>
    </w:p>
    <w:p>
      <w:pPr>
        <w:jc w:val="both"/>
        <w:ind w:firstLine="656"/>
        <w:spacing w:after="0" w:line="258" w:lineRule="auto"/>
        <w:tabs>
          <w:tab w:leader="none" w:pos="1267"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any event or condition occurs that results in any Material Indebtedness becoming due or being terminated or required to be prepaid, repurchased, redeemed or defeased prior to its scheduled maturity or that enables or permits (with all applicable grace periods, if any, in respect of such event or condition under the documentation representing such Material Indebtedness having expired) the holder or holders of any Material Indebtedness or any trustee or agent on its or their behalf, or, in the case of any Hedging Agreement, the applicable counterparty, to cause any Material Indebtedness to become due, or to terminate or require the prepayment, repurchase, redemption or defeasance thereof, prior to its scheduled maturity;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(g) shall not apply to (i) any secured Indebtedness that becomes due as a result of the voluntary sale, transfer or other disposition of the assets securing such Indebtedness (to the extent such sale, transfer or other disposition is not prohibited under this Agreement) or (ii) any Indebtedness that becomes due as a result of a voluntary refinancing thereof permitted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6.01</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firstLine="656"/>
        <w:spacing w:after="0" w:line="294" w:lineRule="auto"/>
        <w:tabs>
          <w:tab w:leader="none" w:pos="123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reorganization or other relief in respect of the Borrowers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Borrowers or any Material Subsidiary or for a substantial part of its assets, and, in any such case, such proceeding or petition shall continue undismissed for 60 days or an order or decree approving or ordering any of the foregoing shall be entered;</w:t>
      </w:r>
    </w:p>
    <w:p>
      <w:pPr>
        <w:spacing w:after="0" w:line="149" w:lineRule="exact"/>
        <w:rPr>
          <w:rFonts w:ascii="Arial" w:cs="Arial" w:eastAsia="Arial" w:hAnsi="Arial"/>
          <w:sz w:val="19"/>
          <w:szCs w:val="19"/>
          <w:color w:val="auto"/>
        </w:rPr>
      </w:pPr>
    </w:p>
    <w:p>
      <w:pPr>
        <w:jc w:val="both"/>
        <w:ind w:firstLine="656"/>
        <w:spacing w:after="0" w:line="259" w:lineRule="auto"/>
        <w:tabs>
          <w:tab w:leader="none" w:pos="1089"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the Borrowers or any Material Subsidiary shall (i) voluntarily commence any proceeding or file any petition seeking liquidation (other than any liquidation permitted under </w:t>
      </w:r>
      <w:r>
        <w:rPr>
          <w:rFonts w:ascii="Arial" w:cs="Arial" w:eastAsia="Arial" w:hAnsi="Arial"/>
          <w:sz w:val="21"/>
          <w:szCs w:val="21"/>
          <w:u w:val="single" w:color="auto"/>
          <w:color w:val="auto"/>
        </w:rPr>
        <w:t>Section 6.03(a)(iv)</w:t>
      </w:r>
      <w:r>
        <w:rPr>
          <w:rFonts w:ascii="Arial" w:cs="Arial" w:eastAsia="Arial" w:hAnsi="Arial"/>
          <w:sz w:val="21"/>
          <w:szCs w:val="21"/>
          <w:color w:val="auto"/>
        </w:rPr>
        <w:t>),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Section, (iii) apply for or consent to the appointment of a receiver, trustee, custodian, sequestrator, conservator or similar official for the Borrowers or any Material Subsidiary or for a substantial part of their assets, (iv) file an answer admitting the material allegations of a petition filed against it in any such proceeding or (v) make a general assignment for the benefit of creditors, or the board of directors (or similar governing body) of the Borrowers or any Material Subsidiary (or any committee thereof) shall adopt any resolution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28" w:right="3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authorize any action to approve any of the actions referred to above in this clause (i) or in clause (h) of this Section;</w:t>
      </w:r>
    </w:p>
    <w:p>
      <w:pPr>
        <w:spacing w:after="0" w:line="220" w:lineRule="exact"/>
        <w:rPr>
          <w:sz w:val="20"/>
          <w:szCs w:val="20"/>
          <w:color w:val="auto"/>
        </w:rPr>
      </w:pPr>
    </w:p>
    <w:p>
      <w:pPr>
        <w:ind w:firstLine="656"/>
        <w:spacing w:after="0" w:line="263" w:lineRule="auto"/>
        <w:tabs>
          <w:tab w:leader="none" w:pos="110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Borrowers or any Material Subsidiary shall admit in writing their inability or fail generally to pay their debts as they become due;</w:t>
      </w:r>
    </w:p>
    <w:p>
      <w:pPr>
        <w:spacing w:after="0" w:line="174" w:lineRule="exact"/>
        <w:rPr>
          <w:rFonts w:ascii="Arial" w:cs="Arial" w:eastAsia="Arial" w:hAnsi="Arial"/>
          <w:sz w:val="22"/>
          <w:szCs w:val="22"/>
          <w:color w:val="auto"/>
        </w:rPr>
      </w:pPr>
    </w:p>
    <w:p>
      <w:pPr>
        <w:jc w:val="both"/>
        <w:ind w:firstLine="656"/>
        <w:spacing w:after="0" w:line="294" w:lineRule="auto"/>
        <w:tabs>
          <w:tab w:leader="none" w:pos="112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one or more judgments for the payment of money in an aggregate amount in excess of $100,000,000 (other than any such judgment covered by insurance (other than under a self-insurance program) to the extent a claim therefor has been made in writing and liability therefor has not been denied by the insurer) shall be rendered against the Borrowers, any Restricted Subsidiary or any combination thereof and the same shall remain undischarged for a period of 60 consecutive days during which execution shall not be effectively stayed, or any action shall be legally taken by a judgment creditor to attach or levy upon any assets of the Borrowers or any Restricted Subsidiary to enforce any such judgment;</w:t>
      </w:r>
    </w:p>
    <w:p>
      <w:pPr>
        <w:spacing w:after="0" w:line="149" w:lineRule="exact"/>
        <w:rPr>
          <w:rFonts w:ascii="Arial" w:cs="Arial" w:eastAsia="Arial" w:hAnsi="Arial"/>
          <w:sz w:val="19"/>
          <w:szCs w:val="19"/>
          <w:color w:val="auto"/>
        </w:rPr>
      </w:pPr>
    </w:p>
    <w:p>
      <w:pPr>
        <w:ind w:right="20" w:firstLine="656"/>
        <w:spacing w:after="0" w:line="343" w:lineRule="auto"/>
        <w:tabs>
          <w:tab w:leader="none" w:pos="111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an ERISA Event shall have occurred that, when taken together with all other ERISA Events that have occurred, (i) could reasonably be expected to result in a Material Adverse Effect or (ii) result in a Lien on any of the assets of any Loan Party;</w:t>
      </w:r>
    </w:p>
    <w:p>
      <w:pPr>
        <w:spacing w:after="0" w:line="104" w:lineRule="exact"/>
        <w:rPr>
          <w:rFonts w:ascii="Arial" w:cs="Arial" w:eastAsia="Arial" w:hAnsi="Arial"/>
          <w:sz w:val="19"/>
          <w:szCs w:val="19"/>
          <w:color w:val="auto"/>
        </w:rPr>
      </w:pPr>
    </w:p>
    <w:p>
      <w:pPr>
        <w:jc w:val="both"/>
        <w:ind w:firstLine="656"/>
        <w:spacing w:after="0" w:line="302" w:lineRule="auto"/>
        <w:tabs>
          <w:tab w:leader="none" w:pos="1189"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on and after the Effective Date, any Lien purported to be created under any Security Document shall cease to be, or shall be asserted by any Loan Party not to be, a valid and perfected Lien on any material Collateral, with the priority required by the applicable Security Document, except as a result of (i) the sale or other disposition of the applicable Collateral in a transaction permitted under the Loan Documents or (ii) the release thereof as provided in </w:t>
      </w:r>
      <w:r>
        <w:rPr>
          <w:rFonts w:ascii="Arial" w:cs="Arial" w:eastAsia="Arial" w:hAnsi="Arial"/>
          <w:sz w:val="19"/>
          <w:szCs w:val="19"/>
          <w:u w:val="single" w:color="auto"/>
          <w:color w:val="auto"/>
        </w:rPr>
        <w:t>Section 9.14</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656"/>
        <w:spacing w:after="0" w:line="253" w:lineRule="auto"/>
        <w:tabs>
          <w:tab w:leader="none" w:pos="113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on and after the Effective Date, any Security Document shall cease to be, or shall be asserted by any Loan Party not to be, in full force and effect, except as a result of the release thereof as provided in the applicable Loan Document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9.14</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4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on and after the Effective Date, any Guarantee purported to be created under any Loan Document shall cease to be, or shall be asserted by any Loan Party not to be, in full force and effect, except as a result of the release thereof as provided in the applicable Loan Document or </w:t>
      </w:r>
      <w:r>
        <w:rPr>
          <w:rFonts w:ascii="Arial" w:cs="Arial" w:eastAsia="Arial" w:hAnsi="Arial"/>
          <w:sz w:val="22"/>
          <w:szCs w:val="22"/>
          <w:u w:val="single" w:color="auto"/>
          <w:color w:val="auto"/>
        </w:rPr>
        <w:t>Section 9.14</w:t>
      </w:r>
      <w:r>
        <w:rPr>
          <w:rFonts w:ascii="Arial" w:cs="Arial" w:eastAsia="Arial" w:hAnsi="Arial"/>
          <w:sz w:val="22"/>
          <w:szCs w:val="22"/>
          <w:color w:val="auto"/>
        </w:rPr>
        <w:t>; or</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 Change in Control shall occur; 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 UK Insolvency Event shall occur in respect of any UK Relevant Entity;</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then, (I) and in every such event (other than an event with respect to the Borrowers described in clause (h) or (i)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w:t>
      </w:r>
      <w:r>
        <w:rPr>
          <w:rFonts w:ascii="Arial" w:cs="Arial" w:eastAsia="Arial" w:hAnsi="Arial"/>
          <w:sz w:val="19"/>
          <w:szCs w:val="19"/>
          <w:color w:val="auto"/>
        </w:rPr>
        <w:t>), and at any time thereafter during the continuance of such event, the Administrative Agent may, and at the request of the Required Lenders shall, by notice to the Borrowers, take any or all of the following actions, at the same or different times:</w:t>
      </w:r>
    </w:p>
    <w:p>
      <w:pPr>
        <w:spacing w:after="0" w:line="1" w:lineRule="exact"/>
        <w:rPr>
          <w:sz w:val="20"/>
          <w:szCs w:val="20"/>
          <w:color w:val="auto"/>
        </w:rPr>
      </w:pPr>
    </w:p>
    <w:p>
      <w:pPr>
        <w:jc w:val="both"/>
        <w:ind w:firstLine="8"/>
        <w:spacing w:after="0" w:line="245" w:lineRule="auto"/>
        <w:tabs>
          <w:tab w:leader="none" w:pos="31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terminate the Commitments, and thereupon the Commitments shall terminate immediately, (ii) declare the Loans then outstanding to be due and payable in whole (or in part), in which case any principal not so declared to be due and payable may thereafter be declared to be due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28" w:right="339" w:bottom="1440" w:gutter="0" w:footer="0" w:header="0"/>
        </w:sectPr>
      </w:pPr>
    </w:p>
    <w:bookmarkStart w:id="212" w:name="page213"/>
    <w:bookmarkEnd w:id="212"/>
    <w:p>
      <w:pPr>
        <w:jc w:val="both"/>
        <w:spacing w:after="0" w:line="289" w:lineRule="auto"/>
        <w:rPr>
          <w:sz w:val="20"/>
          <w:szCs w:val="20"/>
          <w:color w:val="auto"/>
        </w:rPr>
      </w:pPr>
      <w:r>
        <w:rPr>
          <w:rFonts w:ascii="Arial" w:cs="Arial" w:eastAsia="Arial" w:hAnsi="Arial"/>
          <w:sz w:val="19"/>
          <w:szCs w:val="19"/>
          <w:color w:val="auto"/>
        </w:rPr>
        <w:t xml:space="preserve">payable), and thereupon the principal of the Loans so declared to be due and payable, together with accrued interest thereon and all fees and other obligations of the Borrowers hereunder, shall become due and payable immediately and (iii) require the deposit of cash collateral in respect of LC Exposure as provided in </w:t>
      </w:r>
      <w:r>
        <w:rPr>
          <w:rFonts w:ascii="Arial" w:cs="Arial" w:eastAsia="Arial" w:hAnsi="Arial"/>
          <w:sz w:val="19"/>
          <w:szCs w:val="19"/>
          <w:u w:val="single" w:color="auto"/>
          <w:color w:val="auto"/>
        </w:rPr>
        <w:t>Section 2.05(i)</w:t>
      </w:r>
      <w:r>
        <w:rPr>
          <w:rFonts w:ascii="Arial" w:cs="Arial" w:eastAsia="Arial" w:hAnsi="Arial"/>
          <w:sz w:val="19"/>
          <w:szCs w:val="19"/>
          <w:color w:val="auto"/>
        </w:rPr>
        <w:t>, in each case, without presentment, demand, protest or other notice of any kind, all of which are hereby waived by the Borrowers, and (II) in the case of any event with respect to the Borrowers described in clause (h) or (i) of this Section, the Commitments shall automatically terminate and the principal of the Loans then outstanding, together with accrued interest thereon and all fees and other obligations of the Borrowers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Borrowers.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60"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The Administrative Agent</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Administrative Agent Matters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7" w:lineRule="auto"/>
        <w:tabs>
          <w:tab w:leader="none" w:pos="1119"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Each of the Lenders and the Issuing Banks hereby irrevocably appoints the entity named as Administrative Agent in the heading of this Agreement and its successors to serve as administrative agent and collateral agent (without prejudice to the right of the Administrative Agent to designate any sub-agent, co-agent or trustee to serve as collateral agent or security trustee) under the Loan Documents and authorizes the Administrative Agent to take such actions and to exercise such powers as are delegated to the Administrative Agent by the terms of the Loan Documents, together with such actions and powers as are reasonably incidental thereto. In addition, to the extent required under the laws of any jurisdiction other than the United States of America, each of the Lenders and the Issuing Banks hereby grants to the Administrative Agent (including any sub-agent, co-agent or trustee designated by the Administrative Agent) any required powers of attorney to execute any Security Document governed by the laws of such jurisdiction on such Lender’s or such Issuing Bank’s behalf.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56"/>
        <w:spacing w:after="0" w:line="247" w:lineRule="auto"/>
        <w:tabs>
          <w:tab w:leader="none" w:pos="112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 or the Issuing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28" w:right="339" w:bottom="1440" w:gutter="0" w:footer="0" w:header="0"/>
        </w:sectPr>
      </w:pPr>
    </w:p>
    <w:bookmarkStart w:id="213" w:name="page214"/>
    <w:bookmarkEnd w:id="213"/>
    <w:p>
      <w:pPr>
        <w:jc w:val="both"/>
        <w:ind w:firstLine="656"/>
        <w:spacing w:after="0" w:line="283" w:lineRule="auto"/>
        <w:tabs>
          <w:tab w:leader="none" w:pos="1218"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have any duties or obligations except those expressly set forth in the Loan Documents, and its duties hereunder shall be administrative in nature. Without limiting the generality of the foregoing, (i) the Administrative Agent shall not be subject to any fiduciary or other implied duties, regardless of whether a Default has occurred and is continuing, (ii)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could expose the Administrative Agent to liability or be contrary to this Agreement or any other Loan Document or applicable law, and (iii) except as expressly set forth in the Loan Documents, the Administrative Agent shall not have any duty to disclose, and shall not be liable for the failure to disclose, any information relating to the Borrowers, any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the Loan Documents)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(stating that it is a “notice of default”) is given to the Administrative Agent by the Borrowers, a Lender or an Issuing Bank, and the Administrative Agent shall not be responsible for or have any duty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in this Agreement or any other Loan Document or the occurrence of any Default, (D) the sufficiency, validity, enforceability, effectiveness or genuineness of this Agreement or any other Loan Document or any other agreement, instrument or document or (E)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in this Agreement or any other Loan Document, other than to confirm receipt of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loss, cost or expense suffered by the Borrowers or any Lender as a result of, any determination of the Revolving Exposure or the component amounts thereof.</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656"/>
        <w:spacing w:after="0" w:line="312" w:lineRule="auto"/>
        <w:tabs>
          <w:tab w:leader="none" w:pos="120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28" w:right="339" w:bottom="1440" w:gutter="0" w:footer="0" w:header="0"/>
        </w:sectPr>
      </w:pPr>
    </w:p>
    <w:bookmarkStart w:id="214" w:name="page215"/>
    <w:bookmarkEnd w:id="214"/>
    <w:p>
      <w:pPr>
        <w:jc w:val="both"/>
        <w:spacing w:after="0" w:line="287" w:lineRule="auto"/>
        <w:rPr>
          <w:sz w:val="20"/>
          <w:szCs w:val="20"/>
          <w:color w:val="auto"/>
        </w:rPr>
      </w:pPr>
      <w:r>
        <w:rPr>
          <w:rFonts w:ascii="Arial" w:cs="Arial" w:eastAsia="Arial" w:hAnsi="Arial"/>
          <w:sz w:val="19"/>
          <w:szCs w:val="19"/>
          <w:color w:val="auto"/>
        </w:rPr>
        <w:t>authenticated by the proper Person (whether or not such Person in fact meets the requirements set 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20" w:lineRule="exact"/>
        <w:rPr>
          <w:sz w:val="20"/>
          <w:szCs w:val="20"/>
          <w:color w:val="auto"/>
        </w:rPr>
      </w:pPr>
    </w:p>
    <w:p>
      <w:pPr>
        <w:jc w:val="both"/>
        <w:ind w:firstLine="656"/>
        <w:spacing w:after="0" w:line="288" w:lineRule="auto"/>
        <w:tabs>
          <w:tab w:leader="none" w:pos="118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Administrative Agent may perform any of and all its duties and exercise its rights and powers hereunder or under any other Loan Document (including, for the avoidance of doubt, the role of collateral agent and/or security trustee) by or through any one or more sub-agents, co-agents or trustees appointed by the Administrative Agent. The Administrative Agent and any such sub-agent may perform any of and all their duties and exercise their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 co-agent or trustee except to the extent that a court of competent jurisdiction determines in a final and nonappealable judgment that the Administrative Agent acted with gross negligence or willful misconduct in the selection of such sub-agents.</w:t>
      </w:r>
    </w:p>
    <w:p>
      <w:pPr>
        <w:spacing w:after="0" w:line="159" w:lineRule="exact"/>
        <w:rPr>
          <w:rFonts w:ascii="Arial" w:cs="Arial" w:eastAsia="Arial" w:hAnsi="Arial"/>
          <w:sz w:val="19"/>
          <w:szCs w:val="19"/>
          <w:color w:val="auto"/>
        </w:rPr>
      </w:pPr>
    </w:p>
    <w:p>
      <w:pPr>
        <w:jc w:val="both"/>
        <w:ind w:firstLine="656"/>
        <w:spacing w:after="0" w:line="287" w:lineRule="auto"/>
        <w:tabs>
          <w:tab w:leader="none" w:pos="109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Subject to the terms of this paragraph, the Administrative Agent may resign at any time from its capacity as such. In connection with such resignation, the Administrative Agent shall give notice of its intent to resign to the Lenders, the Issuing Banks and the Borrowers. Upon receipt of any such notice of resignation, the Required Lenders shall have the right, with the consent of the Borrowers (which shall not be unreasonably withheld or delayed),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Borrowers to a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428" w:right="339" w:bottom="1440" w:gutter="0" w:footer="0" w:header="0"/>
        </w:sectPr>
      </w:pPr>
    </w:p>
    <w:bookmarkStart w:id="215" w:name="page216"/>
    <w:bookmarkEnd w:id="215"/>
    <w:p>
      <w:pPr>
        <w:jc w:val="both"/>
        <w:spacing w:after="0" w:line="284" w:lineRule="auto"/>
        <w:rPr>
          <w:sz w:val="20"/>
          <w:szCs w:val="20"/>
          <w:color w:val="auto"/>
        </w:rPr>
      </w:pPr>
      <w:r>
        <w:rPr>
          <w:rFonts w:ascii="Arial" w:cs="Arial" w:eastAsia="Arial" w:hAnsi="Arial"/>
          <w:sz w:val="19"/>
          <w:szCs w:val="19"/>
          <w:color w:val="auto"/>
        </w:rPr>
        <w:t xml:space="preserve">Administrative Agent shall be the same as those payable to its predecessor unless otherwise agreed by the Borrowers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Borrowers, whereupon, on the date of effectiveness of such resignation stated in such notice, (i) the retiring Administrative Agent shall be discharged from its duties and obligations hereunder and under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maintaining any security interest granted to the Collateral Agent under any Security Document for the benefit of the Secured Parties, the retiring Administrative Agent (or any applicable sub-agent or security trustee) shall continue to be vested with such security interest as collateral agent for the benefit of the Secured Parties and, in the case of any Collateral in the possession of the Administrative Agent (or such sub-agent or security trustee),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Article and </w:t>
      </w:r>
      <w:r>
        <w:rPr>
          <w:rFonts w:ascii="Arial" w:cs="Arial" w:eastAsia="Arial" w:hAnsi="Arial"/>
          <w:sz w:val="19"/>
          <w:szCs w:val="19"/>
          <w:u w:val="single" w:color="auto"/>
          <w:color w:val="auto"/>
        </w:rPr>
        <w:t>Section 9.03</w:t>
      </w:r>
      <w:r>
        <w:rPr>
          <w:rFonts w:ascii="Arial" w:cs="Arial" w:eastAsia="Arial" w:hAnsi="Arial"/>
          <w:sz w:val="19"/>
          <w:szCs w:val="19"/>
          <w:color w:val="auto"/>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w:t>
      </w:r>
    </w:p>
    <w:p>
      <w:pPr>
        <w:spacing w:after="0" w:line="200" w:lineRule="exact"/>
        <w:rPr>
          <w:sz w:val="20"/>
          <w:szCs w:val="20"/>
          <w:color w:val="auto"/>
        </w:rPr>
      </w:pPr>
    </w:p>
    <w:p>
      <w:pPr>
        <w:spacing w:after="0" w:line="228" w:lineRule="exact"/>
        <w:rPr>
          <w:sz w:val="20"/>
          <w:szCs w:val="20"/>
          <w:color w:val="auto"/>
        </w:rPr>
      </w:pPr>
    </w:p>
    <w:p>
      <w:pPr>
        <w:jc w:val="both"/>
        <w:ind w:firstLine="656"/>
        <w:spacing w:after="0" w:line="259" w:lineRule="auto"/>
        <w:tabs>
          <w:tab w:leader="none" w:pos="1303" w:val="left"/>
        </w:tabs>
        <w:numPr>
          <w:ilvl w:val="0"/>
          <w:numId w:val="172"/>
        </w:numPr>
        <w:rPr>
          <w:rFonts w:ascii="Arial" w:cs="Arial" w:eastAsia="Arial" w:hAnsi="Arial"/>
          <w:sz w:val="21"/>
          <w:szCs w:val="21"/>
          <w:color w:val="auto"/>
        </w:rPr>
      </w:pPr>
      <w:r>
        <w:rPr>
          <w:rFonts w:ascii="Arial" w:cs="Arial" w:eastAsia="Arial" w:hAnsi="Arial"/>
          <w:sz w:val="21"/>
          <w:szCs w:val="21"/>
          <w:color w:val="auto"/>
        </w:rPr>
        <w:t>Each Lender and each Issuing Bank acknowledges that it has, independently and without reliance upon the Administrative Agent, the Arrangers or any other Lender or Issuing Bank, or any of the Related Parties of any of the foregoing, and based on such documents and information as it has deemed appropriate, made its own credit analysis and decision to enter into this Agreement. Each Lender and each Issuing Bank also acknowledges that it will, independently and without reliance upon the Administrative Agent, the Arrangers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3" w:lineRule="exact"/>
        <w:rPr>
          <w:rFonts w:ascii="Arial" w:cs="Arial" w:eastAsia="Arial" w:hAnsi="Arial"/>
          <w:sz w:val="21"/>
          <w:szCs w:val="21"/>
          <w:color w:val="auto"/>
        </w:rPr>
      </w:pPr>
    </w:p>
    <w:p>
      <w:pPr>
        <w:jc w:val="both"/>
        <w:ind w:firstLine="656"/>
        <w:spacing w:after="0" w:line="253" w:lineRule="auto"/>
        <w:tabs>
          <w:tab w:leader="none" w:pos="120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Each Lender, by delivering its signature page to this Agreement and funding its Loans on the Effective Date, or delivering its signature page to an Assignment and Assumption or any other Loan Document pursuant to which it shall become a Lender hereunder,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28" w:right="339" w:bottom="1440" w:gutter="0" w:footer="0" w:header="0"/>
        </w:sectPr>
      </w:pPr>
    </w:p>
    <w:bookmarkStart w:id="216" w:name="page217"/>
    <w:bookmarkEnd w:id="216"/>
    <w:p>
      <w:pPr>
        <w:jc w:val="both"/>
        <w:spacing w:after="0" w:line="286" w:lineRule="auto"/>
        <w:rPr>
          <w:sz w:val="20"/>
          <w:szCs w:val="20"/>
          <w:color w:val="auto"/>
        </w:rPr>
      </w:pPr>
      <w:r>
        <w:rPr>
          <w:rFonts w:ascii="Arial" w:cs="Arial" w:eastAsia="Arial" w:hAnsi="Arial"/>
          <w:sz w:val="19"/>
          <w:szCs w:val="19"/>
          <w:color w:val="auto"/>
        </w:rPr>
        <w:t xml:space="preserve">deemed to have acknowledged receipt of, and consented to and approved, this Agreement and each other Loan Document and each other document required to be delivered to, or be approved by or satisfactory to, the Administrative Agent or the Lenders on the Effective Date and shall be deemed to have consented to and approved the Collateral Agency Agreement and each Security Document to be entered into by the Administrative Agent and any Collateral Agent after the Effective Date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5.15</w:t>
      </w:r>
      <w:r>
        <w:rPr>
          <w:rFonts w:ascii="Arial" w:cs="Arial" w:eastAsia="Arial" w:hAnsi="Arial"/>
          <w:sz w:val="19"/>
          <w:szCs w:val="19"/>
          <w:color w:val="auto"/>
        </w:rPr>
        <w:t xml:space="preserve">. The Lenders, each Issuing Bank and each other Secured Party irrevocably (i) authorizes the Administrative Agent to enter into or amend any Bilateral Facility Intercreditor Agreement with any representative of the holders of Secured Bilateral Facility Obligations that are permitted to be secured by a Lien on the Collateral as permitted under this Agreement, in each case for the purpose of adding the holders of such Indebtedness (or their representative) as a party thereto and otherwise causing such Indebtedness to be subject thereto and (ii) and consents to the Administrative Agent and agrees not to assert any claims against the Administrative Agent or any successor thereof arising from the role of the Administrative Agent or such successor under such Bilateral Facility Intercreditor Agreement, so long as it is acting in accordance with the terms of the Loan Documents and such Bilateral Facility Intercreditor Agreement (it being understood that any action taken by the Administrative Agent acting at the direction of, or with the negative consent of, the Required Lenders shall be an action that is undertaken in accordance with the terms of the Loan Documents). Upon request by the Administrative Agent at any time, the Required Lenders will confirm in writing the Administrative Agent’s authority to enter into or amend such Bilateral Facility Intercreditor Agreement pursuant to this </w:t>
      </w:r>
      <w:r>
        <w:rPr>
          <w:rFonts w:ascii="Arial" w:cs="Arial" w:eastAsia="Arial" w:hAnsi="Arial"/>
          <w:sz w:val="19"/>
          <w:szCs w:val="19"/>
          <w:u w:val="single" w:color="auto"/>
          <w:color w:val="auto"/>
        </w:rPr>
        <w:t>Section 8.01(h)</w:t>
      </w:r>
      <w:r>
        <w:rPr>
          <w:rFonts w:ascii="Arial" w:cs="Arial" w:eastAsia="Arial" w:hAnsi="Arial"/>
          <w:sz w:val="19"/>
          <w:szCs w:val="19"/>
          <w:color w:val="auto"/>
        </w:rPr>
        <w:t>.</w:t>
      </w:r>
    </w:p>
    <w:p>
      <w:pPr>
        <w:spacing w:after="0" w:line="200" w:lineRule="exact"/>
        <w:rPr>
          <w:sz w:val="20"/>
          <w:szCs w:val="20"/>
          <w:color w:val="auto"/>
        </w:rPr>
      </w:pPr>
    </w:p>
    <w:p>
      <w:pPr>
        <w:spacing w:after="0" w:line="215" w:lineRule="exact"/>
        <w:rPr>
          <w:sz w:val="20"/>
          <w:szCs w:val="20"/>
          <w:color w:val="auto"/>
        </w:rPr>
      </w:pPr>
    </w:p>
    <w:p>
      <w:pPr>
        <w:jc w:val="both"/>
        <w:ind w:firstLine="656"/>
        <w:spacing w:after="0" w:line="286" w:lineRule="auto"/>
        <w:tabs>
          <w:tab w:leader="none" w:pos="107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Except with respect to the exercise of setoff rights of any Lender in accordance with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or with respect to a Lender’s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(or any sub-agent, co-agent or trustee designated by it as collateral agent or security trustee) on behalf of the Secured Parties in accordance with the terms thereof. In the event of a foreclosure by the Administrative Agent (or any sub-agent(s) designated by it as collateral agent or security trustee) on any of the Collateral pursuant to a public or private sale or other disposition, the Administrative Agent or any Lender may be the purchaser or licensor of any or all of such Collateral at any such sale or other disposition, and the Administrative Agent (or any sub-agent, co-agent or trustee designated by it as collateral agent or security trustee),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(or any sub-agent, co-agent or trustee designated by it as collateral agent or security trustee) on behalf of the Secured Parties at such sale or other disposition.</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firstLine="656"/>
        <w:spacing w:after="0" w:line="263" w:lineRule="auto"/>
        <w:tabs>
          <w:tab w:leader="none" w:pos="116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Secured Cash Management Obligations, the Secured Hedging Obligations and the Secured Bilateral Facility Obligations, shall be secured and guaranteed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28" w:right="339" w:bottom="1440" w:gutter="0" w:footer="0" w:header="0"/>
        </w:sectPr>
      </w:pPr>
    </w:p>
    <w:bookmarkStart w:id="217" w:name="page218"/>
    <w:bookmarkEnd w:id="217"/>
    <w:p>
      <w:pPr>
        <w:jc w:val="both"/>
        <w:spacing w:after="0" w:line="288" w:lineRule="auto"/>
        <w:rPr>
          <w:sz w:val="20"/>
          <w:szCs w:val="20"/>
          <w:color w:val="auto"/>
        </w:rPr>
      </w:pPr>
      <w:r>
        <w:rPr>
          <w:rFonts w:ascii="Arial" w:cs="Arial" w:eastAsia="Arial" w:hAnsi="Arial"/>
          <w:sz w:val="19"/>
          <w:szCs w:val="19"/>
          <w:color w:val="auto"/>
        </w:rPr>
        <w:t>Loan Documents only to the extent that, and for so long as, the other Obligations are so secured and guaranteed. No person shall have any voting rights under any Loan Document solely as a result of the existence of obligations owed to it under any such Secured Hedge Agreement, Secured Cash Management Agreement or Secured Bilateral Facility. For the avoidance of doubt, no release of Collateral or Guarantors effected in the manner permitted by this Agreement shall require the consent of any holder of obligations under Secured Hedge Agreements, any Secured Cash Management Agreements or any Secured Bilateral Facility. By accepting the benefits of the Collateral, each Secured Party that is a party to any such Cash Management Services, Hedging Agreement or Secured Bilateral Facility shall be deemed to have appointed the Administrative Agent to serve as administrative agent and collateral agent (without prejudice to the Administrative Agent’s right to designate any sub-agent, co-agent or trustee as collateral agent or security trustee) under the Loan Documents and agreed to be bound by the Loan Documents as a Secured Party thereunder, subject to the limitations set forth in this paragraph.</w:t>
      </w:r>
    </w:p>
    <w:p>
      <w:pPr>
        <w:spacing w:after="0" w:line="159" w:lineRule="exact"/>
        <w:rPr>
          <w:sz w:val="20"/>
          <w:szCs w:val="20"/>
          <w:color w:val="auto"/>
        </w:rPr>
      </w:pPr>
    </w:p>
    <w:p>
      <w:pPr>
        <w:jc w:val="both"/>
        <w:ind w:firstLine="656"/>
        <w:spacing w:after="0" w:line="289" w:lineRule="auto"/>
        <w:tabs>
          <w:tab w:leader="none" w:pos="1337"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The Secured Parties irrevocably authorize the Administrative Agent (or any sub-agent, co-agent or trustee designated by it as collateral agent or security trustee), at its option and in its discretion, to subordinate any Lien on any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 6.02(e)</w:t>
      </w:r>
      <w:r>
        <w:rPr>
          <w:rFonts w:ascii="Arial" w:cs="Arial" w:eastAsia="Arial" w:hAnsi="Arial"/>
          <w:sz w:val="19"/>
          <w:szCs w:val="19"/>
          <w:color w:val="auto"/>
        </w:rPr>
        <w:t>. The Administrative Agent (or any sub-agent, co-agent or trustee designated by it as collateral agent or security trustee) shall not be responsible for or have a duty to ascertain or inquire into any representation or warranty regarding the existence, value or collectability of the Collateral, the existence, priority or perfection of the Administrative Agent’s (or any designated collateral agent’s or security trustee’s) Lien thereon or any certificate prepared by any Loan Party in connection therewith, nor shall the Administrative Agent (or any sub-agent, co-agent or trustee designated by it as collateral agent or security trustee) be responsible or liable to the Lenders for any failure to monitor or maintain any portion of the Collateral.</w:t>
      </w:r>
    </w:p>
    <w:p>
      <w:pPr>
        <w:spacing w:after="0" w:line="156" w:lineRule="exact"/>
        <w:rPr>
          <w:rFonts w:ascii="Arial" w:cs="Arial" w:eastAsia="Arial" w:hAnsi="Arial"/>
          <w:sz w:val="19"/>
          <w:szCs w:val="19"/>
          <w:color w:val="auto"/>
        </w:rPr>
      </w:pPr>
    </w:p>
    <w:p>
      <w:pPr>
        <w:jc w:val="both"/>
        <w:ind w:firstLine="656"/>
        <w:spacing w:after="0" w:line="286" w:lineRule="auto"/>
        <w:tabs>
          <w:tab w:leader="none" w:pos="1072"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(i) at any sale thereof conducted under the provisions of the Bankruptcy Code, including under Sections 363, 1123 or 1129 of the Bankruptcy Code, or any similar laws in any other jurisdictions to which a Loan Party is subject, or (ii)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28" w:right="339" w:bottom="1440" w:gutter="0" w:footer="0" w:header="0"/>
        </w:sectPr>
      </w:pPr>
    </w:p>
    <w:bookmarkStart w:id="218" w:name="page219"/>
    <w:bookmarkEnd w:id="218"/>
    <w:p>
      <w:pPr>
        <w:jc w:val="both"/>
        <w:spacing w:after="0" w:line="282" w:lineRule="auto"/>
        <w:rPr>
          <w:sz w:val="20"/>
          <w:szCs w:val="20"/>
          <w:color w:val="auto"/>
        </w:rPr>
      </w:pPr>
      <w:r>
        <w:rPr>
          <w:rFonts w:ascii="Arial" w:cs="Arial" w:eastAsia="Arial" w:hAnsi="Arial"/>
          <w:sz w:val="19"/>
          <w:szCs w:val="19"/>
          <w:color w:val="auto"/>
        </w:rPr>
        <w:t>Administrative Agent shall be authorized to form one or more acquisition vehicles and to assign any successful credit bid to such acquisition vehicle or vehicles (B) each of the Secured Parties’ ratable interests in the Obligations which were credit bid shall be deemed without any further action under this Agreement to be assigned to such vehicle or vehicles for the purpose of closing such sale, (C) the Administrative Agent shall be authorized to adopt documents providing for the governance of the acquisition vehicle or vehicles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of this Agreement), (D)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(E)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w:t>
      </w:r>
    </w:p>
    <w:p>
      <w:pPr>
        <w:spacing w:after="0" w:line="14" w:lineRule="exact"/>
        <w:rPr>
          <w:sz w:val="20"/>
          <w:szCs w:val="20"/>
          <w:color w:val="auto"/>
        </w:rPr>
      </w:pPr>
    </w:p>
    <w:p>
      <w:pPr>
        <w:jc w:val="both"/>
        <w:ind w:firstLine="8"/>
        <w:spacing w:after="0" w:line="259" w:lineRule="auto"/>
        <w:tabs>
          <w:tab w:leader="none" w:pos="356" w:val="left"/>
        </w:tabs>
        <w:numPr>
          <w:ilvl w:val="0"/>
          <w:numId w:val="175"/>
        </w:numPr>
        <w:rPr>
          <w:rFonts w:ascii="Arial" w:cs="Arial" w:eastAsia="Arial" w:hAnsi="Arial"/>
          <w:sz w:val="21"/>
          <w:szCs w:val="21"/>
          <w:color w:val="auto"/>
        </w:rPr>
      </w:pPr>
      <w:r>
        <w:rPr>
          <w:rFonts w:ascii="Arial" w:cs="Arial" w:eastAsia="Arial" w:hAnsi="Arial"/>
          <w:sz w:val="21"/>
          <w:szCs w:val="21"/>
          <w:color w:val="auto"/>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1" w:lineRule="exact"/>
        <w:rPr>
          <w:rFonts w:ascii="Arial" w:cs="Arial" w:eastAsia="Arial" w:hAnsi="Arial"/>
          <w:sz w:val="21"/>
          <w:szCs w:val="21"/>
          <w:color w:val="auto"/>
        </w:rPr>
      </w:pPr>
    </w:p>
    <w:p>
      <w:pPr>
        <w:jc w:val="both"/>
        <w:ind w:firstLine="656"/>
        <w:spacing w:after="0" w:line="297" w:lineRule="auto"/>
        <w:tabs>
          <w:tab w:leader="none" w:pos="1286" w:val="left"/>
        </w:tabs>
        <w:numPr>
          <w:ilvl w:val="1"/>
          <w:numId w:val="175"/>
        </w:numPr>
        <w:rPr>
          <w:rFonts w:ascii="Arial" w:cs="Arial" w:eastAsia="Arial" w:hAnsi="Arial"/>
          <w:sz w:val="19"/>
          <w:szCs w:val="19"/>
          <w:color w:val="auto"/>
        </w:rPr>
      </w:pPr>
      <w:r>
        <w:rPr>
          <w:rFonts w:ascii="Arial" w:cs="Arial" w:eastAsia="Arial" w:hAnsi="Arial"/>
          <w:sz w:val="19"/>
          <w:szCs w:val="19"/>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spacing w:after="0" w:line="146" w:lineRule="exact"/>
        <w:rPr>
          <w:rFonts w:ascii="Arial" w:cs="Arial" w:eastAsia="Arial" w:hAnsi="Arial"/>
          <w:sz w:val="19"/>
          <w:szCs w:val="19"/>
          <w:color w:val="auto"/>
        </w:rPr>
      </w:pPr>
    </w:p>
    <w:p>
      <w:pPr>
        <w:jc w:val="both"/>
        <w:ind w:left="660" w:firstLine="644"/>
        <w:spacing w:after="0" w:line="253" w:lineRule="auto"/>
        <w:tabs>
          <w:tab w:leader="none" w:pos="1732" w:val="left"/>
        </w:tabs>
        <w:numPr>
          <w:ilvl w:val="2"/>
          <w:numId w:val="175"/>
        </w:numPr>
        <w:rPr>
          <w:rFonts w:ascii="Arial" w:cs="Arial" w:eastAsia="Arial" w:hAnsi="Arial"/>
          <w:sz w:val="22"/>
          <w:szCs w:val="22"/>
          <w:color w:val="auto"/>
        </w:rPr>
      </w:pPr>
      <w:r>
        <w:rPr>
          <w:rFonts w:ascii="Arial" w:cs="Arial" w:eastAsia="Arial" w:hAnsi="Arial"/>
          <w:sz w:val="22"/>
          <w:szCs w:val="22"/>
          <w:color w:val="auto"/>
        </w:rPr>
        <w:t>to file and prove a claim for the whole amount of the principal and interest owing and unpaid in respect of the Loans, LC Exposure and all other Obligations that are owing and unpaid and to file such other documents as may be necessary or advisable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28" w:right="339" w:bottom="1440" w:gutter="0" w:footer="0" w:header="0"/>
        </w:sectPr>
      </w:pPr>
    </w:p>
    <w:bookmarkStart w:id="219" w:name="page220"/>
    <w:bookmarkEnd w:id="219"/>
    <w:p>
      <w:pPr>
        <w:ind w:left="660"/>
        <w:spacing w:after="0" w:line="263" w:lineRule="auto"/>
        <w:rPr>
          <w:sz w:val="20"/>
          <w:szCs w:val="20"/>
          <w:color w:val="auto"/>
        </w:rPr>
      </w:pPr>
      <w:r>
        <w:rPr>
          <w:rFonts w:ascii="Arial" w:cs="Arial" w:eastAsia="Arial" w:hAnsi="Arial"/>
          <w:sz w:val="22"/>
          <w:szCs w:val="22"/>
          <w:color w:val="auto"/>
        </w:rPr>
        <w:t xml:space="preserve">order to have the claims of the Lenders, the Issuing Banks and the Administrative Agent (including any claim under </w:t>
      </w:r>
      <w:r>
        <w:rPr>
          <w:rFonts w:ascii="Arial" w:cs="Arial" w:eastAsia="Arial" w:hAnsi="Arial"/>
          <w:sz w:val="22"/>
          <w:szCs w:val="22"/>
          <w:u w:val="single" w:color="auto"/>
          <w:color w:val="auto"/>
        </w:rPr>
        <w:t>Sections 2.12</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9.03</w:t>
      </w:r>
      <w:r>
        <w:rPr>
          <w:rFonts w:ascii="Arial" w:cs="Arial" w:eastAsia="Arial" w:hAnsi="Arial"/>
          <w:sz w:val="22"/>
          <w:szCs w:val="22"/>
          <w:color w:val="auto"/>
        </w:rPr>
        <w:t>) allowed in such judicial proceeding; and</w:t>
      </w:r>
    </w:p>
    <w:p>
      <w:pPr>
        <w:spacing w:after="0" w:line="175" w:lineRule="exact"/>
        <w:rPr>
          <w:sz w:val="20"/>
          <w:szCs w:val="20"/>
          <w:color w:val="auto"/>
        </w:rPr>
      </w:pPr>
    </w:p>
    <w:p>
      <w:pPr>
        <w:ind w:left="660" w:firstLine="644"/>
        <w:spacing w:after="0" w:line="263" w:lineRule="auto"/>
        <w:tabs>
          <w:tab w:leader="none" w:pos="1937"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Arial" w:cs="Arial" w:eastAsia="Arial" w:hAnsi="Arial"/>
          <w:sz w:val="21"/>
          <w:szCs w:val="21"/>
          <w:u w:val="single" w:color="auto"/>
          <w:color w:val="auto"/>
        </w:rPr>
        <w:t>Section 9.03</w:t>
      </w:r>
      <w:r>
        <w:rPr>
          <w:rFonts w:ascii="Arial" w:cs="Arial" w:eastAsia="Arial" w:hAnsi="Arial"/>
          <w:sz w:val="21"/>
          <w:szCs w:val="21"/>
          <w:color w:val="auto"/>
        </w:rPr>
        <w:t>).</w:t>
      </w:r>
    </w:p>
    <w:p>
      <w:pPr>
        <w:spacing w:after="0" w:line="175" w:lineRule="exact"/>
        <w:rPr>
          <w:sz w:val="20"/>
          <w:szCs w:val="20"/>
          <w:color w:val="auto"/>
        </w:rPr>
      </w:pPr>
    </w:p>
    <w:p>
      <w:pPr>
        <w:jc w:val="both"/>
        <w:ind w:firstLine="656"/>
        <w:spacing w:after="0" w:line="250" w:lineRule="auto"/>
        <w:tabs>
          <w:tab w:leader="none" w:pos="116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Notwithstanding anything herein to the contrary, neither the Arrangers nor any Person named on the cover page of this Agreement as a Documentation Agent shall have any duties or obligations under this Agreement or any other Loan Document (except in its capacity, as applicable, as a Lender or an Issuing Bank), but all such Persons shall have the benefit of the indemnities provided for hereunder.</w:t>
      </w:r>
    </w:p>
    <w:p>
      <w:pPr>
        <w:spacing w:after="0" w:line="187" w:lineRule="exact"/>
        <w:rPr>
          <w:rFonts w:ascii="Arial" w:cs="Arial" w:eastAsia="Arial" w:hAnsi="Arial"/>
          <w:sz w:val="22"/>
          <w:szCs w:val="22"/>
          <w:color w:val="auto"/>
        </w:rPr>
      </w:pPr>
    </w:p>
    <w:p>
      <w:pPr>
        <w:jc w:val="both"/>
        <w:ind w:firstLine="656"/>
        <w:spacing w:after="0" w:line="247" w:lineRule="auto"/>
        <w:tabs>
          <w:tab w:leader="none" w:pos="124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provisions of this Article are solely for the benefit of the Administrative Agent, the Collateral Agent, the Lenders and the Issuing Banks, and, except solely to the extent of the Borrowers’ rights to consent pursuant to and subject to the conditions set forth in this Article, none of the Borrowers or any Subsidiary shall have any rights as a third party beneficiary of any such provisions. Each Secured Party, whether or not a party hereto, will be deemed, by its acceptance of the benefits of the Collateral and the Guarantees of the Obligations provided under the Loan Documents, to have agreed to the provisions of this Article.</w:t>
      </w:r>
    </w:p>
    <w:p>
      <w:pPr>
        <w:spacing w:after="0" w:line="192" w:lineRule="exact"/>
        <w:rPr>
          <w:rFonts w:ascii="Arial" w:cs="Arial" w:eastAsia="Arial" w:hAnsi="Arial"/>
          <w:sz w:val="22"/>
          <w:szCs w:val="22"/>
          <w:color w:val="auto"/>
        </w:rPr>
      </w:pPr>
    </w:p>
    <w:p>
      <w:pPr>
        <w:jc w:val="both"/>
        <w:ind w:firstLine="656"/>
        <w:spacing w:after="0" w:line="286" w:lineRule="auto"/>
        <w:tabs>
          <w:tab w:leader="none" w:pos="119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To the extent required by any applicable Requirement of Law, the Administrative Agent may withhold from any payment to any Lender under any Loan Document an amount equal to any applicable withholding Tax. If the IRS or any Governmental Authority asserts a claim that the Administrative Agent did not properly withhold Tax from any amount paid to or for the account of any Lender for any reason (including because the appropriate form was not delivered or was not properly executed, or because such Lender failed to notify the Administrative Agent of a change in circumstances that rendered the exemption from, or reduction of, withholding Tax ineffective), such Lender shall indemnify and hold harmless the Administrative Agent (to the extent that the Administrative Agent has not already been reimbursed by the Loan Parties and without limiting or expanding the obligation of the Loan Parties to do so) for all amounts paid, directly or indirectly, by the Administrative Agent as Tax or otherwise, together with all expenses incurred, including legal expenses and any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428" w:right="339" w:bottom="1440" w:gutter="0" w:footer="0" w:header="0"/>
        </w:sectPr>
      </w:pPr>
    </w:p>
    <w:bookmarkStart w:id="220" w:name="page221"/>
    <w:bookmarkEnd w:id="220"/>
    <w:p>
      <w:pPr>
        <w:jc w:val="both"/>
        <w:spacing w:after="0" w:line="271" w:lineRule="auto"/>
        <w:rPr>
          <w:sz w:val="20"/>
          <w:szCs w:val="20"/>
          <w:color w:val="auto"/>
        </w:rPr>
      </w:pPr>
      <w:r>
        <w:rPr>
          <w:rFonts w:ascii="Arial" w:cs="Arial" w:eastAsia="Arial" w:hAnsi="Arial"/>
          <w:sz w:val="21"/>
          <w:szCs w:val="21"/>
          <w:color w:val="auto"/>
        </w:rPr>
        <w:t>due to the Administrative Agent under this paragraph. The agreements in this paragraph shall survive the resignation and/or replacement of the Administrative Agent, any assignment of rights by, or the replacement of, a Lender, the termination of the Loans and the repayment, satisfaction or discharge of all obligations under this Agreement.</w:t>
      </w:r>
    </w:p>
    <w:p>
      <w:pPr>
        <w:spacing w:after="0" w:line="167" w:lineRule="exact"/>
        <w:rPr>
          <w:sz w:val="20"/>
          <w:szCs w:val="20"/>
          <w:color w:val="auto"/>
        </w:rPr>
      </w:pPr>
    </w:p>
    <w:p>
      <w:pPr>
        <w:jc w:val="both"/>
        <w:ind w:firstLine="656"/>
        <w:spacing w:after="0" w:line="253" w:lineRule="auto"/>
        <w:tabs>
          <w:tab w:leader="none" w:pos="112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Unless required by applicable Requirement of Law, at no time shall the Administrative Agent have any obligation to file for or otherwise pursue on behalf of a Lender any refund of Taxes withheld or deducted from funds paid for the account of such Lender. For purposes of this paragraph, the term “Lender” includes any Issuing Bank.</w:t>
      </w:r>
    </w:p>
    <w:p>
      <w:pPr>
        <w:spacing w:after="0" w:line="185" w:lineRule="exact"/>
        <w:rPr>
          <w:rFonts w:ascii="Arial" w:cs="Arial" w:eastAsia="Arial" w:hAnsi="Arial"/>
          <w:sz w:val="22"/>
          <w:szCs w:val="22"/>
          <w:color w:val="auto"/>
        </w:rPr>
      </w:pPr>
    </w:p>
    <w:p>
      <w:pPr>
        <w:jc w:val="both"/>
        <w:ind w:firstLine="656"/>
        <w:spacing w:after="0" w:line="286" w:lineRule="auto"/>
        <w:tabs>
          <w:tab w:leader="none" w:pos="10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 Each Lender and each Issuing Bank hereby agrees that (x) if the Administrative Agent notifies such Lender and/or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were erroneously transmitted to such Lender or Issuing Bank (whether or not known to such Lender or Issuing Bank), and demands the return of such Payment (or a portion thereof), such Lender and/or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Bank, as applicable,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Bank under this </w:t>
      </w:r>
      <w:r>
        <w:rPr>
          <w:rFonts w:ascii="Arial" w:cs="Arial" w:eastAsia="Arial" w:hAnsi="Arial"/>
          <w:sz w:val="19"/>
          <w:szCs w:val="19"/>
          <w:u w:val="single" w:color="auto"/>
          <w:color w:val="auto"/>
        </w:rPr>
        <w:t>Section 8.01(r)</w:t>
      </w:r>
      <w:r>
        <w:rPr>
          <w:rFonts w:ascii="Arial" w:cs="Arial" w:eastAsia="Arial" w:hAnsi="Arial"/>
          <w:sz w:val="19"/>
          <w:szCs w:val="19"/>
          <w:color w:val="auto"/>
        </w:rPr>
        <w:t xml:space="preserve"> shall be conclusive, absent manifest error.</w:t>
      </w:r>
    </w:p>
    <w:p>
      <w:pPr>
        <w:spacing w:after="0" w:line="158" w:lineRule="exact"/>
        <w:rPr>
          <w:rFonts w:ascii="Arial" w:cs="Arial" w:eastAsia="Arial" w:hAnsi="Arial"/>
          <w:sz w:val="19"/>
          <w:szCs w:val="19"/>
          <w:color w:val="auto"/>
        </w:rPr>
      </w:pPr>
    </w:p>
    <w:p>
      <w:pPr>
        <w:jc w:val="both"/>
        <w:ind w:left="660" w:firstLine="644"/>
        <w:spacing w:after="0" w:line="288" w:lineRule="auto"/>
        <w:tabs>
          <w:tab w:leader="none" w:pos="2031" w:val="left"/>
        </w:tabs>
        <w:numPr>
          <w:ilvl w:val="1"/>
          <w:numId w:val="178"/>
        </w:numPr>
        <w:rPr>
          <w:rFonts w:ascii="Arial" w:cs="Arial" w:eastAsia="Arial" w:hAnsi="Arial"/>
          <w:sz w:val="19"/>
          <w:szCs w:val="19"/>
          <w:color w:val="auto"/>
        </w:rPr>
      </w:pPr>
      <w:r>
        <w:rPr>
          <w:rFonts w:ascii="Arial" w:cs="Arial" w:eastAsia="Arial" w:hAnsi="Arial"/>
          <w:sz w:val="19"/>
          <w:szCs w:val="19"/>
          <w:color w:val="auto"/>
        </w:rPr>
        <w:t>Each Lender and each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and each Issuing Bank agrees that, in each such case, or if it otherwise becomes aware a Payment (or portion thereof) may have been sent in error, such Lender and/or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40"/>
          </w:cols>
          <w:pgMar w:left="320" w:top="1428" w:right="339" w:bottom="1440" w:gutter="0" w:footer="0" w:header="0"/>
        </w:sectPr>
      </w:pPr>
    </w:p>
    <w:bookmarkStart w:id="221" w:name="page222"/>
    <w:bookmarkEnd w:id="221"/>
    <w:p>
      <w:pPr>
        <w:jc w:val="both"/>
        <w:ind w:left="660"/>
        <w:spacing w:after="0" w:line="312" w:lineRule="auto"/>
        <w:rPr>
          <w:sz w:val="20"/>
          <w:szCs w:val="20"/>
          <w:color w:val="auto"/>
        </w:rPr>
      </w:pPr>
      <w:r>
        <w:rPr>
          <w:rFonts w:ascii="Arial" w:cs="Arial" w:eastAsia="Arial" w:hAnsi="Arial"/>
          <w:sz w:val="19"/>
          <w:szCs w:val="19"/>
          <w:color w:val="auto"/>
        </w:rPr>
        <w:t>the date such Payment (or portion thereof) was received by such Lender or Issuing Bank, as applicable,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33" w:lineRule="exact"/>
        <w:rPr>
          <w:sz w:val="20"/>
          <w:szCs w:val="20"/>
          <w:color w:val="auto"/>
        </w:rPr>
      </w:pPr>
    </w:p>
    <w:p>
      <w:pPr>
        <w:jc w:val="both"/>
        <w:ind w:left="660" w:firstLine="644"/>
        <w:spacing w:after="0" w:line="263" w:lineRule="auto"/>
        <w:tabs>
          <w:tab w:leader="none" w:pos="1955"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Borrowers and each other Loan Party hereby agree that (x) in the event an erroneous Payment (or portion thereof) are not recovered from any Lender or Issuing Bank that has received such Payment (or portion thereof) for any reason, the Administrative Agent shall be subrogated to all the rights of such Lender and/or Issuing Bank with respect to such amount and (y) an erroneous Payment shall not pay, prepay, repay, discharge or otherwise satisfy any Obligations owed by any Borrower or any other Loan Party.</w:t>
      </w:r>
    </w:p>
    <w:p>
      <w:pPr>
        <w:spacing w:after="0" w:line="175" w:lineRule="exact"/>
        <w:rPr>
          <w:rFonts w:ascii="Arial" w:cs="Arial" w:eastAsia="Arial" w:hAnsi="Arial"/>
          <w:sz w:val="21"/>
          <w:szCs w:val="21"/>
          <w:color w:val="auto"/>
        </w:rPr>
      </w:pPr>
    </w:p>
    <w:p>
      <w:pPr>
        <w:jc w:val="both"/>
        <w:ind w:left="660" w:firstLine="644"/>
        <w:spacing w:after="0" w:line="312" w:lineRule="auto"/>
        <w:tabs>
          <w:tab w:leader="none" w:pos="198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Each party’s obligations under this </w:t>
      </w:r>
      <w:r>
        <w:rPr>
          <w:rFonts w:ascii="Arial" w:cs="Arial" w:eastAsia="Arial" w:hAnsi="Arial"/>
          <w:sz w:val="19"/>
          <w:szCs w:val="19"/>
          <w:u w:val="single" w:color="auto"/>
          <w:color w:val="auto"/>
        </w:rPr>
        <w:t>Section 8.01(r)</w:t>
      </w:r>
      <w:r>
        <w:rPr>
          <w:rFonts w:ascii="Arial" w:cs="Arial" w:eastAsia="Arial" w:hAnsi="Arial"/>
          <w:sz w:val="19"/>
          <w:szCs w:val="19"/>
          <w:color w:val="auto"/>
        </w:rPr>
        <w:t xml:space="preserve"> shall survive the resignation or replacement of the Administrative Agent or any transfer of rights or obligations by, or the replacement of, a Lender or an Issuing Bank, the termination of the Commitments or the repayment, satisfaction or discharge of all Obligations under any Loan Document.</w:t>
      </w:r>
    </w:p>
    <w:p>
      <w:pPr>
        <w:spacing w:after="0" w:line="133"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u w:val="single" w:color="auto"/>
          <w:color w:val="auto"/>
        </w:rPr>
        <w:t>Certain ERISA Matters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302" w:lineRule="auto"/>
        <w:tabs>
          <w:tab w:leader="none" w:pos="1219"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Borrowers or any other Loan Party, that at least one of the following is and will be true:</w:t>
      </w:r>
    </w:p>
    <w:p>
      <w:pPr>
        <w:spacing w:after="0" w:line="142" w:lineRule="exact"/>
        <w:rPr>
          <w:rFonts w:ascii="Arial" w:cs="Arial" w:eastAsia="Arial" w:hAnsi="Arial"/>
          <w:sz w:val="19"/>
          <w:szCs w:val="19"/>
          <w:color w:val="auto"/>
        </w:rPr>
      </w:pPr>
    </w:p>
    <w:p>
      <w:pPr>
        <w:ind w:left="660" w:firstLine="644"/>
        <w:spacing w:after="0" w:line="263" w:lineRule="auto"/>
        <w:tabs>
          <w:tab w:leader="none" w:pos="1804" w:val="left"/>
        </w:tabs>
        <w:numPr>
          <w:ilvl w:val="1"/>
          <w:numId w:val="180"/>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the Plan Asset Regulations) of one or more Benefit Plans in connection with the Loans, the Letters of Credit or the Commitments,</w:t>
      </w:r>
    </w:p>
    <w:p>
      <w:pPr>
        <w:spacing w:after="0" w:line="174" w:lineRule="exact"/>
        <w:rPr>
          <w:rFonts w:ascii="Arial" w:cs="Arial" w:eastAsia="Arial" w:hAnsi="Arial"/>
          <w:sz w:val="22"/>
          <w:szCs w:val="22"/>
          <w:color w:val="auto"/>
        </w:rPr>
      </w:pPr>
    </w:p>
    <w:p>
      <w:pPr>
        <w:jc w:val="both"/>
        <w:ind w:left="660" w:firstLine="644"/>
        <w:spacing w:after="0" w:line="292" w:lineRule="auto"/>
        <w:tabs>
          <w:tab w:leader="none" w:pos="1837" w:val="left"/>
        </w:tabs>
        <w:numPr>
          <w:ilvl w:val="1"/>
          <w:numId w:val="180"/>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0" w:lineRule="exact"/>
        <w:rPr>
          <w:rFonts w:ascii="Arial" w:cs="Arial" w:eastAsia="Arial" w:hAnsi="Arial"/>
          <w:sz w:val="19"/>
          <w:szCs w:val="19"/>
          <w:color w:val="auto"/>
        </w:rPr>
      </w:pPr>
    </w:p>
    <w:p>
      <w:pPr>
        <w:jc w:val="both"/>
        <w:ind w:left="660" w:firstLine="644"/>
        <w:spacing w:after="0" w:line="253" w:lineRule="auto"/>
        <w:tabs>
          <w:tab w:leader="none" w:pos="1908" w:val="left"/>
        </w:tabs>
        <w:numPr>
          <w:ilvl w:val="1"/>
          <w:numId w:val="180"/>
        </w:numPr>
        <w:rPr>
          <w:rFonts w:ascii="Arial" w:cs="Arial" w:eastAsia="Arial" w:hAnsi="Arial"/>
          <w:sz w:val="22"/>
          <w:szCs w:val="22"/>
          <w:color w:val="auto"/>
        </w:rPr>
      </w:pPr>
      <w:r>
        <w:rPr>
          <w:rFonts w:ascii="Arial" w:cs="Arial" w:eastAsia="Arial" w:hAnsi="Arial"/>
          <w:sz w:val="22"/>
          <w:szCs w:val="22"/>
          <w:color w:val="auto"/>
        </w:rPr>
        <w:t>(A) such Lender is an investment fund managed by a “Qualified Professional Asset Manager” (within the meaning of Part VI of PTE 84-14), (B) such Qualified Professional Asset Manager made the investment decision on behalf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28" w:right="339" w:bottom="1440" w:gutter="0" w:footer="0" w:header="0"/>
        </w:sectPr>
      </w:pPr>
    </w:p>
    <w:bookmarkStart w:id="222" w:name="page223"/>
    <w:bookmarkEnd w:id="222"/>
    <w:p>
      <w:pPr>
        <w:jc w:val="both"/>
        <w:ind w:left="660"/>
        <w:spacing w:after="0" w:line="261" w:lineRule="auto"/>
        <w:rPr>
          <w:sz w:val="20"/>
          <w:szCs w:val="20"/>
          <w:color w:val="auto"/>
        </w:rPr>
      </w:pPr>
      <w:r>
        <w:rPr>
          <w:rFonts w:ascii="Arial" w:cs="Arial" w:eastAsia="Arial" w:hAnsi="Arial"/>
          <w:sz w:val="21"/>
          <w:szCs w:val="21"/>
          <w:color w:val="auto"/>
        </w:rPr>
        <w:t>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9" w:lineRule="exact"/>
        <w:rPr>
          <w:sz w:val="20"/>
          <w:szCs w:val="20"/>
          <w:color w:val="auto"/>
        </w:rPr>
      </w:pPr>
    </w:p>
    <w:p>
      <w:pPr>
        <w:ind w:left="660" w:firstLine="644"/>
        <w:spacing w:after="0" w:line="263" w:lineRule="auto"/>
        <w:tabs>
          <w:tab w:leader="none" w:pos="1896" w:val="left"/>
        </w:tabs>
        <w:numPr>
          <w:ilvl w:val="1"/>
          <w:numId w:val="181"/>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4" w:lineRule="exact"/>
        <w:rPr>
          <w:rFonts w:ascii="Arial" w:cs="Arial" w:eastAsia="Arial" w:hAnsi="Arial"/>
          <w:sz w:val="22"/>
          <w:szCs w:val="22"/>
          <w:color w:val="auto"/>
        </w:rPr>
      </w:pPr>
    </w:p>
    <w:p>
      <w:pPr>
        <w:jc w:val="both"/>
        <w:ind w:firstLine="656"/>
        <w:spacing w:after="0" w:line="259" w:lineRule="auto"/>
        <w:tabs>
          <w:tab w:leader="none" w:pos="1189" w:val="left"/>
        </w:tabs>
        <w:numPr>
          <w:ilvl w:val="0"/>
          <w:numId w:val="182"/>
        </w:numPr>
        <w:rPr>
          <w:rFonts w:ascii="Arial" w:cs="Arial" w:eastAsia="Arial" w:hAnsi="Arial"/>
          <w:sz w:val="21"/>
          <w:szCs w:val="21"/>
          <w:color w:val="auto"/>
        </w:rPr>
      </w:pPr>
      <w:r>
        <w:rPr>
          <w:rFonts w:ascii="Arial" w:cs="Arial" w:eastAsia="Arial" w:hAnsi="Arial"/>
          <w:sz w:val="21"/>
          <w:szCs w:val="21"/>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none of the Administrative Agent, any Arranger, the Documentation Agent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79" w:lineRule="exact"/>
        <w:rPr>
          <w:rFonts w:ascii="Arial" w:cs="Arial" w:eastAsia="Arial" w:hAnsi="Arial"/>
          <w:sz w:val="21"/>
          <w:szCs w:val="21"/>
          <w:color w:val="auto"/>
        </w:rPr>
      </w:pPr>
    </w:p>
    <w:p>
      <w:pPr>
        <w:jc w:val="both"/>
        <w:ind w:firstLine="656"/>
        <w:spacing w:after="0" w:line="287" w:lineRule="auto"/>
        <w:tabs>
          <w:tab w:leader="none" w:pos="113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Administrative Agent, each Arranger and the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428" w:right="339" w:bottom="1440" w:gutter="0" w:footer="0" w:header="0"/>
        </w:sectPr>
      </w:pPr>
    </w:p>
    <w:bookmarkStart w:id="223" w:name="page224"/>
    <w:bookmarkEnd w:id="223"/>
    <w:p>
      <w:pPr>
        <w:ind w:firstLine="656"/>
        <w:spacing w:after="0" w:line="263" w:lineRule="auto"/>
        <w:tabs>
          <w:tab w:leader="none" w:pos="1104"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All notices and other communications provided for herein shall be in writing and shall be delivered by hand or overnight courier service, mailed by certified or registered mail or sent by fax, as follows:</w:t>
      </w:r>
    </w:p>
    <w:p>
      <w:pPr>
        <w:spacing w:after="0" w:line="174" w:lineRule="exact"/>
        <w:rPr>
          <w:rFonts w:ascii="Arial" w:cs="Arial" w:eastAsia="Arial" w:hAnsi="Arial"/>
          <w:sz w:val="22"/>
          <w:szCs w:val="22"/>
          <w:color w:val="auto"/>
        </w:rPr>
      </w:pPr>
    </w:p>
    <w:p>
      <w:pPr>
        <w:ind w:left="1740" w:hanging="436"/>
        <w:spacing w:after="0"/>
        <w:tabs>
          <w:tab w:leader="none" w:pos="174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if to the Borrowers, One St. Paul’s Churchyard, London, EC4M 8AP, United Kingdom, Attention: Alf Melin,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Email: alf.melin@technipfmc.com;</w:t>
      </w:r>
    </w:p>
    <w:p>
      <w:pPr>
        <w:spacing w:after="0" w:line="201" w:lineRule="exact"/>
        <w:rPr>
          <w:rFonts w:ascii="Arial" w:cs="Arial" w:eastAsia="Arial" w:hAnsi="Arial"/>
          <w:sz w:val="19"/>
          <w:szCs w:val="19"/>
          <w:color w:val="auto"/>
        </w:rPr>
      </w:pPr>
    </w:p>
    <w:p>
      <w:pPr>
        <w:ind w:left="1780" w:hanging="476"/>
        <w:spacing w:after="0"/>
        <w:tabs>
          <w:tab w:leader="none" w:pos="178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if to the Administrative Agent, to it at: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Chase Bank, N.A.</w:t>
      </w:r>
    </w:p>
    <w:p>
      <w:pPr>
        <w:ind w:left="1960"/>
        <w:spacing w:after="0" w:line="207" w:lineRule="auto"/>
        <w:rPr>
          <w:sz w:val="20"/>
          <w:szCs w:val="20"/>
          <w:color w:val="auto"/>
        </w:rPr>
      </w:pPr>
      <w:r>
        <w:rPr>
          <w:rFonts w:ascii="Arial" w:cs="Arial" w:eastAsia="Arial" w:hAnsi="Arial"/>
          <w:sz w:val="22"/>
          <w:szCs w:val="22"/>
          <w:color w:val="auto"/>
        </w:rPr>
        <w:t>712 Main Street,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1960"/>
        <w:spacing w:after="0"/>
        <w:rPr>
          <w:sz w:val="20"/>
          <w:szCs w:val="20"/>
          <w:color w:val="auto"/>
        </w:rPr>
      </w:pPr>
      <w:r>
        <w:rPr>
          <w:rFonts w:ascii="Arial" w:cs="Arial" w:eastAsia="Arial" w:hAnsi="Arial"/>
          <w:sz w:val="22"/>
          <w:szCs w:val="22"/>
          <w:color w:val="auto"/>
        </w:rPr>
        <w:t>Houston, TX 77002</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Anson Williams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anson.d.williams@jpmorgan.com</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 South Dearborn, Floor L2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 60603-2300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Michael Stevens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Phone: (312) 732-6468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(844) 490-5665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Jpm.agency.servicing.1@jpmorgan.com</w:t>
      </w:r>
    </w:p>
    <w:p>
      <w:pPr>
        <w:spacing w:after="0" w:line="202" w:lineRule="exact"/>
        <w:rPr>
          <w:sz w:val="20"/>
          <w:szCs w:val="20"/>
          <w:color w:val="auto"/>
        </w:rPr>
      </w:pPr>
    </w:p>
    <w:p>
      <w:pPr>
        <w:jc w:val="both"/>
        <w:ind w:left="660" w:firstLine="644"/>
        <w:spacing w:after="0" w:line="312" w:lineRule="auto"/>
        <w:tabs>
          <w:tab w:leader="none" w:pos="1867"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if to any Issuing Bank, to it at its address (or fax number) most recently specified by it in a notice delivered to the Administrative Agent and the Borrowers (or, in the absence of any such notice, to the address (or fax number) set forth in the Administrative Questionnaire of the Lender that is serving as such Issuing Bank or is an Affiliate thereof); and</w:t>
      </w:r>
    </w:p>
    <w:p>
      <w:pPr>
        <w:spacing w:after="0" w:line="133" w:lineRule="exact"/>
        <w:rPr>
          <w:rFonts w:ascii="Arial" w:cs="Arial" w:eastAsia="Arial" w:hAnsi="Arial"/>
          <w:sz w:val="19"/>
          <w:szCs w:val="19"/>
          <w:color w:val="auto"/>
        </w:rPr>
      </w:pPr>
    </w:p>
    <w:p>
      <w:pPr>
        <w:ind w:left="1840" w:hanging="536"/>
        <w:spacing w:after="0"/>
        <w:tabs>
          <w:tab w:leader="none" w:pos="184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if to any other Lender, to it at its address (or fax number) set forth in its Administrative Questionnaire.</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Notices and communications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shall be effective as provided in such paragraph.</w:t>
      </w:r>
    </w:p>
    <w:p>
      <w:pPr>
        <w:spacing w:after="0" w:line="175" w:lineRule="exact"/>
        <w:rPr>
          <w:sz w:val="20"/>
          <w:szCs w:val="20"/>
          <w:color w:val="auto"/>
        </w:rPr>
      </w:pPr>
    </w:p>
    <w:p>
      <w:pPr>
        <w:jc w:val="both"/>
        <w:ind w:firstLine="656"/>
        <w:spacing w:after="0" w:line="302" w:lineRule="auto"/>
        <w:tabs>
          <w:tab w:leader="none" w:pos="1210"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Issuing Banks hereunder may be delivered or furnished by electronic communication (including e-mail and Internet and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under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to any Lender or any Issuing Bank if such Lender or such Issuing Bank, as applicable, has notified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40"/>
          </w:cols>
          <w:pgMar w:left="320" w:top="1428" w:right="339" w:bottom="1440" w:gutter="0" w:footer="0" w:header="0"/>
        </w:sectPr>
      </w:pPr>
    </w:p>
    <w:bookmarkStart w:id="224" w:name="page225"/>
    <w:bookmarkEnd w:id="224"/>
    <w:p>
      <w:pPr>
        <w:jc w:val="both"/>
        <w:spacing w:after="0" w:line="302" w:lineRule="auto"/>
        <w:rPr>
          <w:sz w:val="20"/>
          <w:szCs w:val="20"/>
          <w:color w:val="auto"/>
        </w:rPr>
      </w:pPr>
      <w:r>
        <w:rPr>
          <w:rFonts w:ascii="Arial" w:cs="Arial" w:eastAsia="Arial" w:hAnsi="Arial"/>
          <w:sz w:val="19"/>
          <w:szCs w:val="19"/>
          <w:color w:val="auto"/>
        </w:rPr>
        <w:t xml:space="preserve">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or may be rescinded by any such Person by notice to each other such Person.</w:t>
      </w:r>
    </w:p>
    <w:p>
      <w:pPr>
        <w:spacing w:after="0" w:line="1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and other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(i) and (ii) above, if such notice or other communication is not sent during the normal business hours of the recipient, such notice or communication shall be deemed to have been sent at the opening of business on the next Business Day for the recipient.</w:t>
      </w:r>
    </w:p>
    <w:p>
      <w:pPr>
        <w:spacing w:after="0" w:line="156" w:lineRule="exact"/>
        <w:rPr>
          <w:sz w:val="20"/>
          <w:szCs w:val="20"/>
          <w:color w:val="auto"/>
        </w:rPr>
      </w:pPr>
    </w:p>
    <w:p>
      <w:pPr>
        <w:ind w:firstLine="656"/>
        <w:spacing w:after="0" w:line="263" w:lineRule="auto"/>
        <w:tabs>
          <w:tab w:leader="none" w:pos="136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Change of Address, etc</w:t>
      </w:r>
      <w:r>
        <w:rPr>
          <w:rFonts w:ascii="Arial" w:cs="Arial" w:eastAsia="Arial" w:hAnsi="Arial"/>
          <w:sz w:val="22"/>
          <w:szCs w:val="22"/>
          <w:color w:val="auto"/>
        </w:rPr>
        <w:t>. Any party hereto may change its address or fax number for notices and other communications hereunder by notice to the other parties hereto.</w:t>
      </w:r>
    </w:p>
    <w:p>
      <w:pPr>
        <w:spacing w:after="0" w:line="174" w:lineRule="exact"/>
        <w:rPr>
          <w:rFonts w:ascii="Arial" w:cs="Arial" w:eastAsia="Arial" w:hAnsi="Arial"/>
          <w:sz w:val="22"/>
          <w:szCs w:val="22"/>
          <w:color w:val="auto"/>
        </w:rPr>
      </w:pPr>
    </w:p>
    <w:p>
      <w:pPr>
        <w:jc w:val="both"/>
        <w:ind w:firstLine="656"/>
        <w:spacing w:after="0" w:line="290" w:lineRule="auto"/>
        <w:tabs>
          <w:tab w:leader="none" w:pos="1291"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Platform</w:t>
      </w:r>
      <w:r>
        <w:rPr>
          <w:rFonts w:ascii="Arial" w:cs="Arial" w:eastAsia="Arial" w:hAnsi="Arial"/>
          <w:sz w:val="19"/>
          <w:szCs w:val="19"/>
          <w:color w:val="auto"/>
        </w:rPr>
        <w:t>. The Borrowers agree that the Administrative Agent may, but shall not be obligated to, make any Communications by posting such Communication on Debt Domain, IntraLinks, SyndTrak or a substantially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The Platform is provided “as is” and “as available.” Neither the Administrative Agent nor any of its Related Parties warrants, or shall be deemed to warrant, as to the adequacy of the Platform and each such Person expressly disclaims any liability for errors or omissions in the Communications. No warranty of any kind, express, implied or statutory, including any warranty of merchantability, fitness for a particular purpose, non-infringement of third- party rights or freedom from viruses or other code defects, is made, or shall be deemed to be made, by the Administrative Agent or any of its Related Parties in connection with the Communications or the Platform.</w:t>
      </w:r>
    </w:p>
    <w:p>
      <w:pPr>
        <w:spacing w:after="0" w:line="156"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Waivers; Amendments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9" w:lineRule="auto"/>
        <w:tabs>
          <w:tab w:leader="none" w:pos="1151" w:val="left"/>
        </w:tabs>
        <w:numPr>
          <w:ilvl w:val="0"/>
          <w:numId w:val="187"/>
        </w:numPr>
        <w:rPr>
          <w:rFonts w:ascii="Arial" w:cs="Arial" w:eastAsia="Arial" w:hAnsi="Arial"/>
          <w:sz w:val="21"/>
          <w:szCs w:val="21"/>
          <w:color w:val="auto"/>
        </w:rPr>
      </w:pPr>
      <w:r>
        <w:rPr>
          <w:rFonts w:ascii="Arial" w:cs="Arial" w:eastAsia="Arial" w:hAnsi="Arial"/>
          <w:sz w:val="21"/>
          <w:szCs w:val="21"/>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and then such waiver or consent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240"/>
          </w:cols>
          <w:pgMar w:left="320" w:top="1428" w:right="339" w:bottom="1440" w:gutter="0" w:footer="0" w:header="0"/>
        </w:sectPr>
      </w:pPr>
    </w:p>
    <w:bookmarkStart w:id="225" w:name="page226"/>
    <w:bookmarkEnd w:id="225"/>
    <w:p>
      <w:pPr>
        <w:jc w:val="both"/>
        <w:spacing w:after="0" w:line="297" w:lineRule="auto"/>
        <w:rPr>
          <w:sz w:val="20"/>
          <w:szCs w:val="20"/>
          <w:color w:val="auto"/>
        </w:rPr>
      </w:pPr>
      <w:r>
        <w:rPr>
          <w:rFonts w:ascii="Arial" w:cs="Arial" w:eastAsia="Arial" w:hAnsi="Arial"/>
          <w:sz w:val="19"/>
          <w:szCs w:val="19"/>
          <w:color w:val="auto"/>
        </w:rPr>
        <w:t>be effective only in the specific instance and for the specific purpose for which given. Without limiting the generality of the foregoing, the execution and delivery of this Agreement,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Borrowers in any case shall entitle the Borrowers to any other or further notice or demand in similar or other circumstances.</w:t>
      </w:r>
    </w:p>
    <w:p>
      <w:pPr>
        <w:spacing w:after="0" w:line="147" w:lineRule="exact"/>
        <w:rPr>
          <w:sz w:val="20"/>
          <w:szCs w:val="20"/>
          <w:color w:val="auto"/>
        </w:rPr>
      </w:pPr>
    </w:p>
    <w:p>
      <w:pPr>
        <w:jc w:val="both"/>
        <w:ind w:firstLine="656"/>
        <w:spacing w:after="0" w:line="282" w:lineRule="auto"/>
        <w:tabs>
          <w:tab w:leader="none" w:pos="1231" w:val="left"/>
        </w:tabs>
        <w:numPr>
          <w:ilvl w:val="1"/>
          <w:numId w:val="188"/>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Sections 2.14(b)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none of this Agreement, any other Loan Document or any provision hereof or thereof may be waived, amended or modified except, in the case of this Agreement, pursuant to an agreement or agreements in writing entered into by the Borrowers, the Administrative Agent and the Required Lenders and,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in each case without the written consent of each Lender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consent of the Required Lenders shall be sufficient to waive or reduce the increased portion of interest resulting from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(iii) postpone the scheduled maturity date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(iv) change any of the provisions of this Section, change any provision of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in a manner that would alter the pro rata sharing of payments required thereby or the percentage set forth in the definition of the term “Required Lenders” or any other provision of this Agreement or any other Loan Document specifying the number or percentage of Lenders required to waive, amend or otherwise modify any rights thereunder or make any determination or grant any consent thereunder, without the written consent of each Lender, (v) release all or substantially all of the value of the Guarantees provided by the Loan Parties under the New York-Law Guarantee, in each case without the written consent of each Lender (except as expressly provided in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or the New York-Law Guarantee (including any such release by the Administrative Agent in connection with any sale or other disposition of any Subsidiary upon the exercise of remedies under the Security Documents), it being understood and agreed that an amendment or other modification of the type of obligations guaranteed under the New York-Law Guarantee shall not be deemed to be a release of any Guarantee),</w:t>
      </w:r>
    </w:p>
    <w:p>
      <w:pPr>
        <w:spacing w:after="0" w:line="13" w:lineRule="exact"/>
        <w:rPr>
          <w:rFonts w:ascii="Arial" w:cs="Arial" w:eastAsia="Arial" w:hAnsi="Arial"/>
          <w:sz w:val="19"/>
          <w:szCs w:val="19"/>
          <w:color w:val="auto"/>
        </w:rPr>
      </w:pPr>
    </w:p>
    <w:p>
      <w:pPr>
        <w:jc w:val="both"/>
        <w:ind w:firstLine="8"/>
        <w:spacing w:after="0" w:line="257" w:lineRule="auto"/>
        <w:tabs>
          <w:tab w:leader="none" w:pos="383"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release all or substantially all the Collateral from the Liens of the Security Documents without the written consent of each Lender (except as expressly provided in </w:t>
      </w:r>
      <w:r>
        <w:rPr>
          <w:rFonts w:ascii="Arial" w:cs="Arial" w:eastAsia="Arial" w:hAnsi="Arial"/>
          <w:sz w:val="21"/>
          <w:szCs w:val="21"/>
          <w:u w:val="single" w:color="auto"/>
          <w:color w:val="auto"/>
        </w:rPr>
        <w:t>Section 9.14</w:t>
      </w:r>
      <w:r>
        <w:rPr>
          <w:rFonts w:ascii="Arial" w:cs="Arial" w:eastAsia="Arial" w:hAnsi="Arial"/>
          <w:sz w:val="21"/>
          <w:szCs w:val="21"/>
          <w:color w:val="auto"/>
        </w:rPr>
        <w:t xml:space="preserve"> or the applicable Security Document (including any such release by the Administrative Agent in connection with any sale or other disposition of the Collateral upon the exercise of remedies under the Security Documents), it being understood and agreed that an amendment or other modification of the type of obligations secured by the Security Documents shall not be deemed to be a release of the Collateral from the Liens of the Security Documents), (vii) [reserved], (viii) [reserved] or (ix) amend </w:t>
      </w:r>
      <w:r>
        <w:rPr>
          <w:rFonts w:ascii="Arial" w:cs="Arial" w:eastAsia="Arial" w:hAnsi="Arial"/>
          <w:sz w:val="21"/>
          <w:szCs w:val="21"/>
          <w:u w:val="single" w:color="auto"/>
          <w:color w:val="auto"/>
        </w:rPr>
        <w:t>Section 2.18(f)</w:t>
      </w:r>
      <w:r>
        <w:rPr>
          <w:rFonts w:ascii="Arial" w:cs="Arial" w:eastAsia="Arial" w:hAnsi="Arial"/>
          <w:sz w:val="21"/>
          <w:szCs w:val="21"/>
          <w:color w:val="auto"/>
        </w:rPr>
        <w:t xml:space="preserve"> without the written consent of each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 such agreement shall amend, modify, extend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1240"/>
          </w:cols>
          <w:pgMar w:left="320" w:top="1428" w:right="339" w:bottom="1440" w:gutter="0" w:footer="0" w:header="0"/>
        </w:sectPr>
      </w:pPr>
    </w:p>
    <w:bookmarkStart w:id="226" w:name="page227"/>
    <w:bookmarkEnd w:id="226"/>
    <w:p>
      <w:pPr>
        <w:jc w:val="both"/>
        <w:spacing w:after="0" w:line="287" w:lineRule="auto"/>
        <w:rPr>
          <w:sz w:val="20"/>
          <w:szCs w:val="20"/>
          <w:color w:val="auto"/>
        </w:rPr>
      </w:pPr>
      <w:r>
        <w:rPr>
          <w:rFonts w:ascii="Arial" w:cs="Arial" w:eastAsia="Arial" w:hAnsi="Arial"/>
          <w:sz w:val="19"/>
          <w:szCs w:val="19"/>
          <w:color w:val="auto"/>
        </w:rPr>
        <w:t>affect the rights or obligations of the Administrative Agent or any Issuing Bank without the prior written consent of the Administrative Agent or such Issuing Bank, as applicable. Notwithstanding any of the foregoing, (1) no consent with respect to any waiver, amendment or other modification of this Agreement or any other Loan Document shall be required of any Defaulting Lender, except with respect to any waiver, amendment or other modification referred to in clause (i), (ii) or (iii) of the first proviso of this paragraph and then only in the event such Defaulting Lender shall be affected by such waiver, amendment or other modification and (2) any provision of this Agreement or any other Loan Document may be amended by an agreement in writing entered into by the Borrowers and the Administrative Agent to cure any ambiguity, omission, mistake,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(x) the Required Lenders stating that the Required Lenders object to such amendment or (y) if affected by such amendment, any Issuing Bank stating that it objects to such amendment.</w:t>
      </w:r>
    </w:p>
    <w:p>
      <w:pPr>
        <w:spacing w:after="0" w:line="163" w:lineRule="exact"/>
        <w:rPr>
          <w:sz w:val="20"/>
          <w:szCs w:val="20"/>
          <w:color w:val="auto"/>
        </w:rPr>
      </w:pPr>
    </w:p>
    <w:p>
      <w:pPr>
        <w:jc w:val="both"/>
        <w:ind w:firstLine="656"/>
        <w:spacing w:after="0" w:line="285" w:lineRule="auto"/>
        <w:tabs>
          <w:tab w:leader="none" w:pos="113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In connection with any Proposed Change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being referred to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for purposes of this clause (c)), then the Borrowers may, at their sole expense and effort, upon notice to such Non-Consenting Lender and the Administrative Agent, require such Non-Consenting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 Administrative Agent is not such Non-Consenting Lender, the Borrowers shall have received the prior written consent of the Administrative Agent (and, if a Commitment is being assigned, each Issuing Bank), which consent shall not unreasonably be withheld or delayed, (ii) such Non-Consenting Lender shall have received payment of an amount equal to the outstanding principal of its Loans and participations in LC Disbursements, accrued interest thereon, accrued fees and all other amounts payable to it hereunder from the assignee or the Borrowers, (iii) the Borrowers or such assignee shall have paid to the Administrative Agent the processing and recordation fee specified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9.04(b)</w:t>
      </w:r>
      <w:r>
        <w:rPr>
          <w:rFonts w:ascii="Arial" w:cs="Arial" w:eastAsia="Arial" w:hAnsi="Arial"/>
          <w:sz w:val="19"/>
          <w:szCs w:val="19"/>
          <w:color w:val="auto"/>
        </w:rPr>
        <w:t xml:space="preserve">, (iv) such assignment does not conflict with applicable law and (v) the assignee shall have given its consent to such Proposed Change and, as a result of such assignment and delegation and any contemporaneous assignments and delegations and consents, such Proposed Change can be effected. Any assignment required pursuant to this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may be effected pursuant to an Assignment and Assumption executed by the Borrowers, the Administrative Agent and the assignee, and the Lender required to make such assignment shall not be required to be a party to such Assignment and Assumption.</w:t>
      </w:r>
    </w:p>
    <w:p>
      <w:pPr>
        <w:spacing w:after="0" w:line="162" w:lineRule="exact"/>
        <w:rPr>
          <w:rFonts w:ascii="Arial" w:cs="Arial" w:eastAsia="Arial" w:hAnsi="Arial"/>
          <w:sz w:val="19"/>
          <w:szCs w:val="19"/>
          <w:color w:val="auto"/>
        </w:rPr>
      </w:pPr>
    </w:p>
    <w:p>
      <w:pPr>
        <w:jc w:val="both"/>
        <w:ind w:firstLine="656"/>
        <w:spacing w:after="0" w:line="253" w:lineRule="auto"/>
        <w:tabs>
          <w:tab w:leader="none" w:pos="113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Administrative Agent may, without the consent of any Secured Party, consent to a departure by any Loan Party from any covenant of such Loan Party set forth in this Agreement, the New York-Law Guarantee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240"/>
          </w:cols>
          <w:pgMar w:left="320" w:top="1428" w:right="339" w:bottom="1440" w:gutter="0" w:footer="0" w:header="0"/>
        </w:sectPr>
      </w:pPr>
    </w:p>
    <w:bookmarkStart w:id="227" w:name="page228"/>
    <w:bookmarkEnd w:id="227"/>
    <w:p>
      <w:pPr>
        <w:ind w:right="20"/>
        <w:spacing w:after="0" w:line="263" w:lineRule="auto"/>
        <w:rPr>
          <w:sz w:val="20"/>
          <w:szCs w:val="20"/>
          <w:color w:val="auto"/>
        </w:rPr>
      </w:pPr>
      <w:r>
        <w:rPr>
          <w:rFonts w:ascii="Arial" w:cs="Arial" w:eastAsia="Arial" w:hAnsi="Arial"/>
          <w:sz w:val="22"/>
          <w:szCs w:val="22"/>
          <w:color w:val="auto"/>
        </w:rPr>
        <w:t>Security Document to the extent such departure is consistent with the authority of the Administrative Agent set forth in the definition of the term “Collateral and Guarantee Requirement.”</w:t>
      </w:r>
    </w:p>
    <w:p>
      <w:pPr>
        <w:spacing w:after="0" w:line="175" w:lineRule="exact"/>
        <w:rPr>
          <w:sz w:val="20"/>
          <w:szCs w:val="20"/>
          <w:color w:val="auto"/>
        </w:rPr>
      </w:pPr>
    </w:p>
    <w:p>
      <w:pPr>
        <w:jc w:val="both"/>
        <w:ind w:firstLine="656"/>
        <w:spacing w:after="0" w:line="250" w:lineRule="auto"/>
        <w:tabs>
          <w:tab w:leader="none" w:pos="110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Administrative Agent may, but shall have no obligation to, with the concurrence of any Lender, execute waivers, amendments or other modifications on behalf of such Lender. Any waiver, amendment or other modification effected in accordance with this Section, shall be binding upon each Person that is at the time thereof a Lender and each Person that subsequently becomes a Lender.</w:t>
      </w:r>
    </w:p>
    <w:p>
      <w:pPr>
        <w:spacing w:after="0" w:line="18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u w:val="single" w:color="auto"/>
          <w:color w:val="auto"/>
        </w:rPr>
        <w:t>Expenses; Limitation of Liability; Indemnity, Etc</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5" w:lineRule="auto"/>
        <w:tabs>
          <w:tab w:leader="none" w:pos="1252"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Borrowers shall pay (i) all reasonable and documented out-of-pocket expenses incurred by the Administrative Agent, the Arrangers, the Documentation Agent and their respective Affiliates, including the reasonable fees, charges and disbursements of one firm of counsel for all such Persons, taken as a whole, and, if relevant, of a single firm of local counsel in each applicable jurisdiction (which may include a single firm of special counsel acting in multiple jurisdictions) for all such Persons, taken as a whole (and, in the case of an actual or perceived conflict of interest where the Person affected by such conflict informs the Borrowers of such conflict and thereafter retains its own counsel, of another firm of counsel for such affected Person and, if reasonably necessary, of a single firm of local counsel in each applicable jurisdiction (which may include a single firm of special counsel acting in multiple jurisdictions) for such affected Person), in connection with the structuring, arrangement and syndication of the credit facilities provided for herein and any credit or similar facility refinancing or replacing, in whole or in part, any of the credit facilities provided for herein, as well as the preparation, negotiation, execution, delivery and administration of this Agreement, the other Loan Documents or any waiver, amendments or modifications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reasonable and documented out-of-pocket expenses incurred by the Administrative Agent, any Issuing Bank or any Lender, including the reasonable and documented fees, charges and disbursements of counsel for any of the foregoing,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297" w:lineRule="auto"/>
        <w:tabs>
          <w:tab w:leader="none" w:pos="1143"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To the extent permitted by applicable law (i) the Borrowers and each other Loan Party shall not assert, and the Borrowers and each other Loan Party hereby waive, any claim against the Administrative Agent, any Arranger, the Documentation Agent, any Issuing Bank and any Lender, and any Related Party of any of the foregoing Persons (each such Person being called a “</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for any Liabilities arising from the use by others of information or other materials (including, without limitation, any personal data) obtained through telecommunications, electronic or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240"/>
          </w:cols>
          <w:pgMar w:left="320" w:top="1428" w:right="339" w:bottom="1440" w:gutter="0" w:footer="0" w:header="0"/>
        </w:sectPr>
      </w:pPr>
    </w:p>
    <w:bookmarkStart w:id="228" w:name="page229"/>
    <w:bookmarkEnd w:id="228"/>
    <w:p>
      <w:pPr>
        <w:jc w:val="both"/>
        <w:spacing w:after="0" w:line="292" w:lineRule="auto"/>
        <w:rPr>
          <w:sz w:val="20"/>
          <w:szCs w:val="20"/>
          <w:color w:val="auto"/>
        </w:rPr>
      </w:pPr>
      <w:r>
        <w:rPr>
          <w:rFonts w:ascii="Arial" w:cs="Arial" w:eastAsia="Arial" w:hAnsi="Arial"/>
          <w:sz w:val="19"/>
          <w:szCs w:val="19"/>
          <w:color w:val="auto"/>
        </w:rPr>
        <w:t xml:space="preserve">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9.03(b)</w:t>
      </w:r>
      <w:r>
        <w:rPr>
          <w:rFonts w:ascii="Arial" w:cs="Arial" w:eastAsia="Arial" w:hAnsi="Arial"/>
          <w:sz w:val="19"/>
          <w:szCs w:val="19"/>
          <w:color w:val="auto"/>
        </w:rPr>
        <w:t xml:space="preserve"> shall relieve the Borrowers or any other Loan Party of any obligation they may have to indemnify an Indemnitee, as provided in </w:t>
      </w:r>
      <w:r>
        <w:rPr>
          <w:rFonts w:ascii="Arial" w:cs="Arial" w:eastAsia="Arial" w:hAnsi="Arial"/>
          <w:sz w:val="19"/>
          <w:szCs w:val="19"/>
          <w:u w:val="single" w:color="auto"/>
          <w:color w:val="auto"/>
        </w:rPr>
        <w:t>Section 9.03(c)</w:t>
      </w:r>
      <w:r>
        <w:rPr>
          <w:rFonts w:ascii="Arial" w:cs="Arial" w:eastAsia="Arial" w:hAnsi="Arial"/>
          <w:sz w:val="19"/>
          <w:szCs w:val="19"/>
          <w:color w:val="auto"/>
        </w:rPr>
        <w:t>, against any special, indirect, consequential or punitive damages asserted against such Indemnitee by a third party.</w:t>
      </w:r>
    </w:p>
    <w:p>
      <w:pPr>
        <w:spacing w:after="0" w:line="151" w:lineRule="exact"/>
        <w:rPr>
          <w:sz w:val="20"/>
          <w:szCs w:val="20"/>
          <w:color w:val="auto"/>
        </w:rPr>
      </w:pPr>
    </w:p>
    <w:p>
      <w:pPr>
        <w:jc w:val="both"/>
        <w:ind w:firstLine="656"/>
        <w:spacing w:after="0" w:line="284" w:lineRule="auto"/>
        <w:tabs>
          <w:tab w:leader="none" w:pos="1144"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The Borrowers shall indemnify the Administrative Agent, the Arrangers, the Documentation Agent, the Lenders, the Issuing Banks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Liabilities and related expenses (including the reasonable and documented fees, charges and disbursements of one firm of counsel for all such Indemnitees, taken as a whole, and, if relevant, of a single firm of local counsel in each applicable jurisdiction (which may include a single firm of special counsel acting in multiple jurisdictions) for all such Indemnitees, taken as a whole (and, in the case of an actual or perceived conflict of interest where the Indemnitee affected by such conflict informs the Borrowers of such conflict and thereafter retains its own counsel, of another firm of counsel for such affected Indemnitee and, if reasonably necessary, of a single firm of local counsel in each applicable jurisdiction (which may include a single firm of special counsel acting in multiple jurisdictions) for such affected Indemnitee)), incurred by or asserted against such Indemnitees arising out of, in connection with or as a result of any actual or prospective Proceeding relating to (i) the structuring, arrangement and syndication of the credit facilities provided for herein, the preparation, negotiation, execution, delivery and administration of this Agreement, the other Loan Documents or any other agreement or instrument contemplated hereby or thereby, the performance by the parties to this Agreement or the other Loan Documents of their respective obligations hereunder or thereunder or the consummation of the Transactions or any other transactions contemplated hereby or thereby,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(iii) any actual or alleged presence or Release of Hazardous Materials on, at, to or from any Mortgaged Property or any other property currently or formerly owned or operated by the Borrowers or any Subsidiary, or any other Environmental Liability related in any way to the Borrowers or any Subsidiary, in each case, whether based on contract, tort or any other theory and whether initiated against or by any party to this Agreement or any other Loan Document, any Affiliate of any of the foregoing or any third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indemnity shall not, as to any Indemnitee, apply to any Liabilities or related expenses to the extent (A) they are found in a final and non-appealable judgment of a court of competent jurisdiction to have primarily resulted from the willful misconduct, bad faith or gross negligence of such Indemnitee or (B) a proceeding that does not involve an act or omission by the Borrowers or any of their respective Affiliates and that is brought by an Indemnitee against any other Indemnitee (other than a proceeding that is brought against the Administrative Agent,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240"/>
          </w:cols>
          <w:pgMar w:left="320" w:top="1428" w:right="339" w:bottom="1440" w:gutter="0" w:footer="0" w:header="0"/>
        </w:sectPr>
      </w:pPr>
    </w:p>
    <w:bookmarkStart w:id="229" w:name="page230"/>
    <w:bookmarkEnd w:id="229"/>
    <w:p>
      <w:pPr>
        <w:jc w:val="both"/>
        <w:spacing w:after="0" w:line="312" w:lineRule="auto"/>
        <w:rPr>
          <w:sz w:val="20"/>
          <w:szCs w:val="20"/>
          <w:color w:val="auto"/>
        </w:rPr>
      </w:pPr>
      <w:r>
        <w:rPr>
          <w:rFonts w:ascii="Arial" w:cs="Arial" w:eastAsia="Arial" w:hAnsi="Arial"/>
          <w:sz w:val="19"/>
          <w:szCs w:val="19"/>
          <w:color w:val="auto"/>
        </w:rPr>
        <w:t xml:space="preserve">Issuing Bank or any other agent or any Arranger in its capacity or in fulfilling its roles as an agent, issuing bank or arranger hereunder or any similar role with respect to the Indebtedness incurred or to be incurred hereunder). This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shall not apply with respect to Taxes other than any Taxes that represent losses, claims or damages arising from any non-Tax claim.</w:t>
      </w:r>
    </w:p>
    <w:p>
      <w:pPr>
        <w:spacing w:after="0" w:line="133" w:lineRule="exact"/>
        <w:rPr>
          <w:sz w:val="20"/>
          <w:szCs w:val="20"/>
          <w:color w:val="auto"/>
        </w:rPr>
      </w:pPr>
    </w:p>
    <w:p>
      <w:pPr>
        <w:jc w:val="both"/>
        <w:ind w:firstLine="656"/>
        <w:spacing w:after="0" w:line="285" w:lineRule="auto"/>
        <w:tabs>
          <w:tab w:leader="none" w:pos="111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Lender Reimbursement</w:t>
      </w:r>
      <w:r>
        <w:rPr>
          <w:rFonts w:ascii="Arial" w:cs="Arial" w:eastAsia="Arial" w:hAnsi="Arial"/>
          <w:sz w:val="19"/>
          <w:szCs w:val="19"/>
          <w:color w:val="auto"/>
        </w:rPr>
        <w:t xml:space="preserve">. Each Lender severally agrees to pay any amount required to be paid by the Borrowers under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or the Collateral Agency Agreement to the Administrative Agent, the Collateral Agent, any Issuing Bank, or any Related Party of any of the foregoing Persons (each, an “</w:t>
      </w:r>
      <w:r>
        <w:rPr>
          <w:rFonts w:ascii="Arial" w:cs="Arial" w:eastAsia="Arial" w:hAnsi="Arial"/>
          <w:sz w:val="19"/>
          <w:szCs w:val="19"/>
          <w:u w:val="single" w:color="auto"/>
          <w:color w:val="auto"/>
        </w:rPr>
        <w:t>Agent-Related Person</w:t>
      </w:r>
      <w:r>
        <w:rPr>
          <w:rFonts w:ascii="Arial" w:cs="Arial" w:eastAsia="Arial" w:hAnsi="Arial"/>
          <w:sz w:val="19"/>
          <w:szCs w:val="19"/>
          <w:color w:val="auto"/>
        </w:rPr>
        <w:t xml:space="preserve">”) (to the extent not reimbursed by the Borrowers and without limiting their obligation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1100" w:hanging="444"/>
        <w:spacing w:after="0"/>
        <w:tabs>
          <w:tab w:leader="none" w:pos="11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All amounts due under this Section shall be payable promptly after written demand therefor.</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0" w:lineRule="exact"/>
        <w:rPr>
          <w:sz w:val="20"/>
          <w:szCs w:val="20"/>
          <w:color w:val="auto"/>
        </w:rPr>
      </w:pPr>
    </w:p>
    <w:p>
      <w:pPr>
        <w:jc w:val="both"/>
        <w:ind w:firstLine="656"/>
        <w:spacing w:after="0" w:line="259" w:lineRule="auto"/>
        <w:tabs>
          <w:tab w:leader="none" w:pos="1158"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The provisions of this Agreement shall be binding upon and inure to the benefit of the parties hereto and their respective successors and assigns permitted hereby (including any Affiliate of any Issuing Bank that issues any Letter of Credit), except that (i) neither of the Borrowers may assign, delegate or otherwise transfer any of their rights or obligations hereunder without the prior written consent of the Administrative Agent and each Lender (and any attempted assignment, delegation or transfer by a Borrower without such consent shall be null and void) and (ii) no Lender may assign, delegate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240"/>
          </w:cols>
          <w:pgMar w:left="320" w:top="1428" w:right="339" w:bottom="1440" w:gutter="0" w:footer="0" w:header="0"/>
        </w:sectPr>
      </w:pPr>
    </w:p>
    <w:bookmarkStart w:id="230" w:name="page231"/>
    <w:bookmarkEnd w:id="230"/>
    <w:p>
      <w:pPr>
        <w:jc w:val="both"/>
        <w:spacing w:after="0" w:line="250" w:lineRule="auto"/>
        <w:rPr>
          <w:sz w:val="20"/>
          <w:szCs w:val="20"/>
          <w:color w:val="auto"/>
        </w:rPr>
      </w:pPr>
      <w:r>
        <w:rPr>
          <w:rFonts w:ascii="Arial" w:cs="Arial" w:eastAsia="Arial" w:hAnsi="Arial"/>
          <w:sz w:val="22"/>
          <w:szCs w:val="22"/>
          <w:color w:val="auto"/>
        </w:rPr>
        <w:t xml:space="preserve">of any Issuing Bank that issues any Letter of Credit), Participants (to the extent provided in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of this Section), the Arrangers, the Documentation Agent and, to the extent expressly contemplated hereby, the Related Parties of any of the Administrative Agent, any Arranger, the Documentation Agent, any Issuing Bank and any Lender) any legal or equitable right, remedy or claim under or by reason of this Agreement.</w:t>
      </w:r>
    </w:p>
    <w:p>
      <w:pPr>
        <w:spacing w:after="0" w:line="188" w:lineRule="exact"/>
        <w:rPr>
          <w:sz w:val="20"/>
          <w:szCs w:val="20"/>
          <w:color w:val="auto"/>
        </w:rPr>
      </w:pPr>
    </w:p>
    <w:p>
      <w:pPr>
        <w:jc w:val="both"/>
        <w:ind w:firstLine="656"/>
        <w:spacing w:after="0" w:line="257" w:lineRule="auto"/>
        <w:tabs>
          <w:tab w:leader="none" w:pos="1170"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Assignments by Lenders</w:t>
      </w:r>
      <w:r>
        <w:rPr>
          <w:rFonts w:ascii="Arial" w:cs="Arial" w:eastAsia="Arial" w:hAnsi="Arial"/>
          <w:sz w:val="21"/>
          <w:szCs w:val="21"/>
          <w:color w:val="auto"/>
        </w:rPr>
        <w:t xml:space="preserve">. (i) Subject to the conditions set forth in </w:t>
      </w:r>
      <w:r>
        <w:rPr>
          <w:rFonts w:ascii="Arial" w:cs="Arial" w:eastAsia="Arial" w:hAnsi="Arial"/>
          <w:sz w:val="21"/>
          <w:szCs w:val="21"/>
          <w:u w:val="single" w:color="auto"/>
          <w:color w:val="auto"/>
        </w:rPr>
        <w:t>paragraph (b)(ii)</w:t>
      </w:r>
      <w:r>
        <w:rPr>
          <w:rFonts w:ascii="Arial" w:cs="Arial" w:eastAsia="Arial" w:hAnsi="Arial"/>
          <w:sz w:val="21"/>
          <w:szCs w:val="21"/>
          <w:color w:val="auto"/>
        </w:rPr>
        <w:t xml:space="preserve"> below, any Lender may assign and delegate to one or more Eligible Assignees all or a portion of its rights and obligations under this Agreement (including all or a portion of its Commitment and the Loans at the time owing to it) with the prior written consent (such consent not to be unreasonably withheld or delayed, except in connection with a proposed assignment to any Disqualified Institution) of (A) the Borrowers;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Borrowers shall be required (1) for an assignment and delegation to a Revolving Lender, an affiliate of a Revolving Lender or an Approved Fund in respect of a Revolving Lender and (2) if an Event of Default of the type set forth in </w:t>
      </w:r>
      <w:r>
        <w:rPr>
          <w:rFonts w:ascii="Arial" w:cs="Arial" w:eastAsia="Arial" w:hAnsi="Arial"/>
          <w:sz w:val="21"/>
          <w:szCs w:val="21"/>
          <w:u w:val="single" w:color="auto"/>
          <w:color w:val="auto"/>
        </w:rPr>
        <w:t>Section 7.01(a)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(with respect to any Financial Covenant), </w:t>
      </w:r>
      <w:r>
        <w:rPr>
          <w:rFonts w:ascii="Arial" w:cs="Arial" w:eastAsia="Arial" w:hAnsi="Arial"/>
          <w:sz w:val="21"/>
          <w:szCs w:val="21"/>
          <w:u w:val="single" w:color="auto"/>
          <w:color w:val="auto"/>
        </w:rPr>
        <w:t>(h)</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w:t>
      </w:r>
      <w:r>
        <w:rPr>
          <w:rFonts w:ascii="Arial" w:cs="Arial" w:eastAsia="Arial" w:hAnsi="Arial"/>
          <w:sz w:val="21"/>
          <w:szCs w:val="21"/>
          <w:color w:val="auto"/>
        </w:rPr>
        <w:t xml:space="preserve"> has occurred and is continuing, for any other assignment and delegation;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the Borrowers shall be deemed to have consented to any such assignment and delegation unless they shall object thereto by written notice to the Administrative Agent within ten (10) Business Days after having received notice thereof, (B)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Administrative Agent shall be required for an assignment and delegation of all or any portion of a Commitment or Revolving Loan to a Revolving Lender, an affiliate of a Revolving Lender or an Approved Fund in respect of a Revolving Lender and (C) each Issuing Bank, in the case of any assignment and delegation of all or a portion of a Commitment or any Lender’s obligations in respect of its LC Exposure.</w:t>
      </w:r>
    </w:p>
    <w:p>
      <w:pPr>
        <w:spacing w:after="0" w:line="186" w:lineRule="exact"/>
        <w:rPr>
          <w:rFonts w:ascii="Arial" w:cs="Arial" w:eastAsia="Arial" w:hAnsi="Arial"/>
          <w:sz w:val="21"/>
          <w:szCs w:val="21"/>
          <w:color w:val="auto"/>
        </w:rPr>
      </w:pPr>
    </w:p>
    <w:p>
      <w:pPr>
        <w:jc w:val="both"/>
        <w:ind w:left="660" w:firstLine="644"/>
        <w:spacing w:after="0" w:line="286" w:lineRule="auto"/>
        <w:tabs>
          <w:tab w:leader="none" w:pos="1805" w:val="left"/>
        </w:tabs>
        <w:numPr>
          <w:ilvl w:val="1"/>
          <w:numId w:val="196"/>
        </w:numPr>
        <w:rPr>
          <w:rFonts w:ascii="Arial" w:cs="Arial" w:eastAsia="Arial" w:hAnsi="Arial"/>
          <w:sz w:val="19"/>
          <w:szCs w:val="19"/>
          <w:color w:val="auto"/>
        </w:rPr>
      </w:pPr>
      <w:r>
        <w:rPr>
          <w:rFonts w:ascii="Arial" w:cs="Arial" w:eastAsia="Arial" w:hAnsi="Arial"/>
          <w:sz w:val="19"/>
          <w:szCs w:val="19"/>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and delegation is delivered to the Administrative Agent) shall not be less than $5,000,000, unless each Borrower and the Administrative Agent otherwise consents;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Borrowers shall be required if an Event of Default has occurred and is continuing, (B) each partial assignment shall be made as an assignment of a proportionate part of all the assigning Lender’s rights and obligations under this Agreement, (C)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with respect to any assignment pursuant to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the parties hereto agree that such assignment may be effected pursuant to an Assignment and Assumption executed by the Borrowers, the Administrative Agent and the assignee and that the Lender required to make such assignment need not be a party thereto, and (D) the assignee, if it shall not be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1240"/>
          </w:cols>
          <w:pgMar w:left="320" w:top="1428" w:right="339" w:bottom="1440" w:gutter="0" w:footer="0" w:header="0"/>
        </w:sectPr>
      </w:pPr>
    </w:p>
    <w:bookmarkStart w:id="231" w:name="page232"/>
    <w:bookmarkEnd w:id="231"/>
    <w:p>
      <w:pPr>
        <w:jc w:val="both"/>
        <w:spacing w:after="0" w:line="250" w:lineRule="auto"/>
        <w:rPr>
          <w:sz w:val="20"/>
          <w:szCs w:val="20"/>
          <w:color w:val="auto"/>
        </w:rPr>
      </w:pPr>
      <w:r>
        <w:rPr>
          <w:rFonts w:ascii="Arial" w:cs="Arial" w:eastAsia="Arial" w:hAnsi="Arial"/>
          <w:sz w:val="22"/>
          <w:szCs w:val="22"/>
          <w:color w:val="auto"/>
        </w:rPr>
        <w:t>shall deliver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spacing w:after="0" w:line="188" w:lineRule="exact"/>
        <w:rPr>
          <w:sz w:val="20"/>
          <w:szCs w:val="20"/>
          <w:color w:val="auto"/>
        </w:rPr>
      </w:pPr>
    </w:p>
    <w:p>
      <w:pPr>
        <w:jc w:val="both"/>
        <w:ind w:firstLine="644"/>
        <w:spacing w:after="0" w:line="287" w:lineRule="auto"/>
        <w:tabs>
          <w:tab w:leader="none" w:pos="1215"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w:t>
      </w:r>
      <w:r>
        <w:rPr>
          <w:rFonts w:ascii="Arial" w:cs="Arial" w:eastAsia="Arial" w:hAnsi="Arial"/>
          <w:sz w:val="19"/>
          <w:szCs w:val="19"/>
          <w:u w:val="single" w:color="auto"/>
          <w:color w:val="auto"/>
        </w:rPr>
        <w:t>paragraph (c)(ii)</w:t>
      </w:r>
      <w:r>
        <w:rPr>
          <w:rFonts w:ascii="Arial" w:cs="Arial" w:eastAsia="Arial" w:hAnsi="Arial"/>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(and subject to the obligations and limitations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and to any fees payable hereunder that have accrued for such Lender’s account but have not yet been paid). Any assignment or transfer by a Lender of rights or obligations under this Agreement that does not comply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other than with respect to Disqualified Institutions, whether or not such assignment or transfer is reflected in the Register, shall be treated for purposes of this Agreement as a sale by such Lender of a participation in such rights and obligations in accordance with clause (c) of this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left="1180" w:hanging="536"/>
        <w:spacing w:after="0"/>
        <w:tabs>
          <w:tab w:leader="none" w:pos="11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44"/>
        <w:spacing w:after="0" w:line="259" w:lineRule="auto"/>
        <w:tabs>
          <w:tab w:leader="none" w:pos="1152" w:val="left"/>
        </w:tabs>
        <w:numPr>
          <w:ilvl w:val="0"/>
          <w:numId w:val="197"/>
        </w:numPr>
        <w:rPr>
          <w:rFonts w:ascii="Arial" w:cs="Arial" w:eastAsia="Arial" w:hAnsi="Arial"/>
          <w:sz w:val="21"/>
          <w:szCs w:val="21"/>
          <w:color w:val="auto"/>
        </w:rPr>
      </w:pPr>
      <w:r>
        <w:rPr>
          <w:rFonts w:ascii="Arial" w:cs="Arial" w:eastAsia="Arial" w:hAnsi="Arial"/>
          <w:sz w:val="21"/>
          <w:szCs w:val="21"/>
          <w:color w:val="auto"/>
        </w:rPr>
        <w:t xml:space="preserve">If any assignment under this </w:t>
      </w:r>
      <w:r>
        <w:rPr>
          <w:rFonts w:ascii="Arial" w:cs="Arial" w:eastAsia="Arial" w:hAnsi="Arial"/>
          <w:sz w:val="21"/>
          <w:szCs w:val="21"/>
          <w:u w:val="single" w:color="auto"/>
          <w:color w:val="auto"/>
        </w:rPr>
        <w:t>Section 9.04(b)</w:t>
      </w:r>
      <w:r>
        <w:rPr>
          <w:rFonts w:ascii="Arial" w:cs="Arial" w:eastAsia="Arial" w:hAnsi="Arial"/>
          <w:sz w:val="21"/>
          <w:szCs w:val="21"/>
          <w:color w:val="auto"/>
        </w:rPr>
        <w:t xml:space="preserve"> is made to any Disqualified Institution without the Borrowers’ prior written consent, then the Borrowers may, at their sole expense and effort, upon notice to the applicable Disqualified Institution and the Administrative Agent and to the extent such Disqualified Institution continues to hold any such Loans or Commitments, (A) terminate any Commitment of such Disqualified Institution and repay the outstanding amount of Loans, together with accrued and unpaid interest thereon, unpaid fees and all other amounts owing to such Disqualified Institution and/or (B) require such Disqualified Institution to assign, without recourse (in accordance with and subject to the restrictions contained in this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all of its interests, rights and obligations under this Agreement to one or more Eligible Assignees. Nothing in this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shall be deemed to prejudice any right or remedy that the Borrowers may otherwise have at law or equity.</w:t>
      </w:r>
    </w:p>
    <w:p>
      <w:pPr>
        <w:spacing w:after="0" w:line="179" w:lineRule="exact"/>
        <w:rPr>
          <w:rFonts w:ascii="Arial" w:cs="Arial" w:eastAsia="Arial" w:hAnsi="Arial"/>
          <w:sz w:val="21"/>
          <w:szCs w:val="21"/>
          <w:color w:val="auto"/>
        </w:rPr>
      </w:pPr>
    </w:p>
    <w:p>
      <w:pPr>
        <w:jc w:val="both"/>
        <w:ind w:firstLine="644"/>
        <w:spacing w:after="0" w:line="248" w:lineRule="auto"/>
        <w:tabs>
          <w:tab w:leader="none" w:pos="118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each Disqualified Institution (A) will not receive information provided solely to Lenders by the Borrowers, the Administrative Agent or any Lender (other than the Disqualified Institutions List to any potential assignee for the purpose of determining if such potential assignee is a Disqualified Institution) and will not be permitted to attend or participate in conference calls or meetings attended solely by the Lenders and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0580"/>
          </w:cols>
          <w:pgMar w:left="980" w:top="1428" w:right="339" w:bottom="1440" w:gutter="0" w:footer="0" w:header="0"/>
        </w:sectPr>
      </w:pPr>
    </w:p>
    <w:bookmarkStart w:id="232" w:name="page233"/>
    <w:bookmarkEnd w:id="232"/>
    <w:p>
      <w:pPr>
        <w:jc w:val="both"/>
        <w:spacing w:after="0" w:line="286" w:lineRule="auto"/>
        <w:rPr>
          <w:sz w:val="20"/>
          <w:szCs w:val="20"/>
          <w:color w:val="auto"/>
        </w:rPr>
      </w:pPr>
      <w:r>
        <w:rPr>
          <w:rFonts w:ascii="Arial" w:cs="Arial" w:eastAsia="Arial" w:hAnsi="Arial"/>
          <w:sz w:val="19"/>
          <w:szCs w:val="19"/>
          <w:color w:val="auto"/>
        </w:rPr>
        <w:t xml:space="preserve">Agent, other than the right to receive notices of prepayments and other administrative notices in respect of its Loans or Commitments required to be delivered to Lenders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(B) (x)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shall not have any right to consent (or not consent), otherwise act or direct or require the Administrative Agent or any Lender to take (or refrain from taking) any such action, and all Loans held by any Disqualified Institution shall be deemed to be not outstanding for all purposes of calculating whether the Required Lenders or all Lenders have taken any actions, except that no amendment, modification or waiver of any Loan Document shall, without the consent of the applicable Disqualified Institution, deprive any Disqualified Institution of its pro rata share of any payment to which all Lenders are entitled and (y) hereby agrees that if a proceeding under any Debtor Relief Law shall be commenced by or against the Borrowers or any other Loan Party, such Disqualified Institution will be deemed to vote in the same proportion as Lenders that are not Disqualified Institutions.</w:t>
      </w:r>
    </w:p>
    <w:p>
      <w:pPr>
        <w:spacing w:after="0" w:line="200" w:lineRule="exact"/>
        <w:rPr>
          <w:sz w:val="20"/>
          <w:szCs w:val="20"/>
          <w:color w:val="auto"/>
        </w:rPr>
      </w:pPr>
    </w:p>
    <w:p>
      <w:pPr>
        <w:spacing w:after="0" w:line="222" w:lineRule="exact"/>
        <w:rPr>
          <w:sz w:val="20"/>
          <w:szCs w:val="20"/>
          <w:color w:val="auto"/>
        </w:rPr>
      </w:pPr>
    </w:p>
    <w:p>
      <w:pPr>
        <w:jc w:val="both"/>
        <w:ind w:firstLine="644"/>
        <w:spacing w:after="0" w:line="297" w:lineRule="auto"/>
        <w:tabs>
          <w:tab w:leader="none" w:pos="146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Administrative Agent shall have the right, and the Borrowers hereby expressly authorize the Administrative Agent, to provide the Disqualified Institutions List to each Lender or potential Lender requesting the same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or potential Lender agrees to maintain the confidentiality of the Disqualified Institutions List (which agreement may be by way of a “click through” or other affirmative action on the part of the recipient to access the Disqualified Institutions List and acknowledge its confidentiality obligations in respect thereof)).</w:t>
      </w:r>
    </w:p>
    <w:p>
      <w:pPr>
        <w:spacing w:after="0" w:line="146" w:lineRule="exact"/>
        <w:rPr>
          <w:rFonts w:ascii="Arial" w:cs="Arial" w:eastAsia="Arial" w:hAnsi="Arial"/>
          <w:sz w:val="19"/>
          <w:szCs w:val="19"/>
          <w:color w:val="auto"/>
        </w:rPr>
      </w:pPr>
    </w:p>
    <w:p>
      <w:pPr>
        <w:jc w:val="both"/>
        <w:ind w:firstLine="644"/>
        <w:spacing w:after="0" w:line="247" w:lineRule="auto"/>
        <w:tabs>
          <w:tab w:leader="none" w:pos="132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Administrative Agent shall not be responsible or have any liability for, or have any duty to ascertain, inquire into, monitor the list or identities of, or enforce, compliance with the provisions hereof relating to Disqualified Institutions. Without limiting the generality of the foregoing, the Administrative Agent shall not (x) be obligated to ascertain, monitor or inquire as to whether any Lender or prospective Lender is a Disqualified Institution or (y) have any liability with respect to or arising out of any assignment of Loans, or disclosure of confidential information, to any Disqualified Institution.</w:t>
      </w:r>
    </w:p>
    <w:p>
      <w:pPr>
        <w:spacing w:after="0" w:line="192" w:lineRule="exact"/>
        <w:rPr>
          <w:rFonts w:ascii="Arial" w:cs="Arial" w:eastAsia="Arial" w:hAnsi="Arial"/>
          <w:sz w:val="22"/>
          <w:szCs w:val="22"/>
          <w:color w:val="auto"/>
        </w:rPr>
      </w:pPr>
    </w:p>
    <w:p>
      <w:pPr>
        <w:jc w:val="both"/>
        <w:ind w:firstLine="644"/>
        <w:spacing w:after="0" w:line="294" w:lineRule="auto"/>
        <w:tabs>
          <w:tab w:leader="none" w:pos="124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 non-fiduciary agent of the Borrowers, shall maintain at one of its offices a copy of each Assignment and Assumption delivered to it and a register for the recordation of the names and addresses of the Lenders, and the Commitment of, and principal amount (and related interest amounts)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the Borrowers, the Administrative Agent, the Issuing Banks and the Lenders shall treat each Person whose name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0580"/>
          </w:cols>
          <w:pgMar w:left="980" w:top="1428" w:right="339" w:bottom="1440" w:gutter="0" w:footer="0" w:header="0"/>
        </w:sectPr>
      </w:pPr>
    </w:p>
    <w:bookmarkStart w:id="233" w:name="page234"/>
    <w:bookmarkEnd w:id="233"/>
    <w:p>
      <w:pPr>
        <w:jc w:val="both"/>
        <w:ind w:left="660"/>
        <w:spacing w:after="0" w:line="253" w:lineRule="auto"/>
        <w:rPr>
          <w:sz w:val="20"/>
          <w:szCs w:val="20"/>
          <w:color w:val="auto"/>
        </w:rPr>
      </w:pPr>
      <w:r>
        <w:rPr>
          <w:rFonts w:ascii="Arial" w:cs="Arial" w:eastAsia="Arial" w:hAnsi="Arial"/>
          <w:sz w:val="22"/>
          <w:szCs w:val="22"/>
          <w:color w:val="auto"/>
        </w:rPr>
        <w:t>in the Register pursuant to the terms hereof as a Lender hereunder for all purposes of this Agreement, notwithstanding notice to the contrary. The Register shall be available for inspection by the Borrowers, any Issuing Bank or any Lender, at any reasonable time and from time to time upon reasonable prior notice.</w:t>
      </w:r>
    </w:p>
    <w:p>
      <w:pPr>
        <w:spacing w:after="0" w:line="185" w:lineRule="exact"/>
        <w:rPr>
          <w:sz w:val="20"/>
          <w:szCs w:val="20"/>
          <w:color w:val="auto"/>
        </w:rPr>
      </w:pPr>
    </w:p>
    <w:p>
      <w:pPr>
        <w:jc w:val="both"/>
        <w:ind w:left="660" w:firstLine="644"/>
        <w:spacing w:after="0" w:line="287" w:lineRule="auto"/>
        <w:tabs>
          <w:tab w:leader="none" w:pos="1816" w:val="left"/>
        </w:tabs>
        <w:numPr>
          <w:ilvl w:val="1"/>
          <w:numId w:val="199"/>
        </w:numPr>
        <w:rPr>
          <w:rFonts w:ascii="Arial" w:cs="Arial" w:eastAsia="Arial" w:hAnsi="Arial"/>
          <w:sz w:val="19"/>
          <w:szCs w:val="19"/>
          <w:color w:val="auto"/>
        </w:rPr>
      </w:pPr>
      <w:r>
        <w:rPr>
          <w:rFonts w:ascii="Arial" w:cs="Arial" w:eastAsia="Arial" w:hAnsi="Arial"/>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w:t>
      </w:r>
      <w:r>
        <w:rPr>
          <w:rFonts w:ascii="Arial" w:cs="Arial" w:eastAsia="Arial" w:hAnsi="Arial"/>
          <w:sz w:val="19"/>
          <w:szCs w:val="19"/>
          <w:u w:val="single" w:color="auto"/>
          <w:color w:val="auto"/>
        </w:rPr>
        <w:t>paragraph (b)(ii)</w:t>
      </w:r>
      <w:r>
        <w:rPr>
          <w:rFonts w:ascii="Arial" w:cs="Arial" w:eastAsia="Arial" w:hAnsi="Arial"/>
          <w:sz w:val="19"/>
          <w:szCs w:val="19"/>
          <w:color w:val="auto"/>
        </w:rPr>
        <w:t xml:space="preserve"> of this Section and any written consent to such assignment required by </w:t>
      </w:r>
      <w:r>
        <w:rPr>
          <w:rFonts w:ascii="Arial" w:cs="Arial" w:eastAsia="Arial" w:hAnsi="Arial"/>
          <w:sz w:val="19"/>
          <w:szCs w:val="19"/>
          <w:u w:val="single" w:color="auto"/>
          <w:color w:val="auto"/>
        </w:rPr>
        <w:t>paragraph (b)(i)</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9.03(d)</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8" w:lineRule="exact"/>
        <w:rPr>
          <w:rFonts w:ascii="Arial" w:cs="Arial" w:eastAsia="Arial" w:hAnsi="Arial"/>
          <w:sz w:val="19"/>
          <w:szCs w:val="19"/>
          <w:color w:val="auto"/>
        </w:rPr>
      </w:pPr>
    </w:p>
    <w:p>
      <w:pPr>
        <w:jc w:val="both"/>
        <w:ind w:firstLine="656"/>
        <w:spacing w:after="0" w:line="285" w:lineRule="auto"/>
        <w:tabs>
          <w:tab w:leader="none" w:pos="1158"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without the consent of, or notice to, the Borrowers, the Administrative Agent, or any Issuing Bank, sell participations to one or more Eligible Assignees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affects such Participant. The Borrowers agree that each Participant shall be entitled to the benefits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(it being understood and agreed that the documentation required under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shall be delivered to the participating Lender and the information and documentation required under </w:t>
      </w:r>
      <w:r>
        <w:rPr>
          <w:rFonts w:ascii="Arial" w:cs="Arial" w:eastAsia="Arial" w:hAnsi="Arial"/>
          <w:sz w:val="19"/>
          <w:szCs w:val="19"/>
          <w:u w:val="single" w:color="auto"/>
          <w:color w:val="auto"/>
        </w:rPr>
        <w:t>2.17(f)</w:t>
      </w:r>
      <w:r>
        <w:rPr>
          <w:rFonts w:ascii="Arial" w:cs="Arial" w:eastAsia="Arial" w:hAnsi="Arial"/>
          <w:sz w:val="19"/>
          <w:szCs w:val="19"/>
          <w:color w:val="auto"/>
        </w:rPr>
        <w:t xml:space="preserve"> will be delivered to the Borrowers and the Administrative Agent) to the same extent as if it were a Lender and had acquired its interest by assignment and delegation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 subject to the provisions of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as if it were an assignee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(B)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1240"/>
          </w:cols>
          <w:pgMar w:left="320" w:top="1428" w:right="339" w:bottom="1440" w:gutter="0" w:footer="0" w:header="0"/>
        </w:sectPr>
      </w:pPr>
    </w:p>
    <w:bookmarkStart w:id="234" w:name="page235"/>
    <w:bookmarkEnd w:id="234"/>
    <w:p>
      <w:pPr>
        <w:jc w:val="both"/>
        <w:spacing w:after="0" w:line="285" w:lineRule="auto"/>
        <w:rPr>
          <w:sz w:val="20"/>
          <w:szCs w:val="20"/>
          <w:color w:val="auto"/>
        </w:rPr>
      </w:pPr>
      <w:r>
        <w:rPr>
          <w:rFonts w:ascii="Arial" w:cs="Arial" w:eastAsia="Arial" w:hAnsi="Arial"/>
          <w:sz w:val="19"/>
          <w:szCs w:val="19"/>
          <w:color w:val="auto"/>
        </w:rPr>
        <w:t xml:space="preserve">entitled to receive any greater payment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with respect to any Participant.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w:t>
      </w:r>
      <w:r>
        <w:rPr>
          <w:rFonts w:ascii="Arial" w:cs="Arial" w:eastAsia="Arial" w:hAnsi="Arial"/>
          <w:sz w:val="19"/>
          <w:szCs w:val="19"/>
          <w:u w:val="single" w:color="auto"/>
          <w:color w:val="auto"/>
        </w:rPr>
        <w:t>Section 2.18(c)</w:t>
      </w:r>
      <w:r>
        <w:rPr>
          <w:rFonts w:ascii="Arial" w:cs="Arial" w:eastAsia="Arial" w:hAnsi="Arial"/>
          <w:sz w:val="19"/>
          <w:szCs w:val="19"/>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3" w:lineRule="exact"/>
        <w:rPr>
          <w:sz w:val="20"/>
          <w:szCs w:val="20"/>
          <w:color w:val="auto"/>
        </w:rPr>
      </w:pPr>
    </w:p>
    <w:p>
      <w:pPr>
        <w:jc w:val="both"/>
        <w:ind w:firstLine="656"/>
        <w:spacing w:after="0" w:line="247" w:lineRule="auto"/>
        <w:tabs>
          <w:tab w:leader="none" w:pos="1170"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Certain Pledges</w:t>
      </w:r>
      <w:r>
        <w:rPr>
          <w:rFonts w:ascii="Arial" w:cs="Arial" w:eastAsia="Arial" w:hAnsi="Arial"/>
          <w:sz w:val="22"/>
          <w:szCs w:val="22"/>
          <w:color w:val="auto"/>
        </w:rPr>
        <w:t xml:space="preserve">. Any Lender may, without the consent of the Borrowers, the Administrative Agent or any Issuing Bank,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All covenants, agreements, representations and warranties made by the Loan Parties in this Agreement and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Arrangers, the Documentation Agent, any Issuing Bank, any Lender or any Affiliate of any of the foregoing may have had notice or knowledge of any Default or incorrect representation or warranty at the time this Agreement or any other Loan Document is executed and delivered or any credit is extended hereunder, and shall continue in full force and effect as long as the principal of or any accrued interest on any Loan or any fee or any other amount payable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240"/>
          </w:cols>
          <w:pgMar w:left="320" w:top="1428" w:right="339" w:bottom="1440" w:gutter="0" w:footer="0" w:header="0"/>
        </w:sectPr>
      </w:pPr>
    </w:p>
    <w:bookmarkStart w:id="235" w:name="page236"/>
    <w:bookmarkEnd w:id="235"/>
    <w:p>
      <w:pPr>
        <w:jc w:val="both"/>
        <w:spacing w:after="0" w:line="257" w:lineRule="auto"/>
        <w:rPr>
          <w:sz w:val="20"/>
          <w:szCs w:val="20"/>
          <w:color w:val="auto"/>
        </w:rPr>
      </w:pPr>
      <w:r>
        <w:rPr>
          <w:rFonts w:ascii="Arial" w:cs="Arial" w:eastAsia="Arial" w:hAnsi="Arial"/>
          <w:sz w:val="21"/>
          <w:szCs w:val="21"/>
          <w:color w:val="auto"/>
        </w:rPr>
        <w:t xml:space="preserve">this Agreement is outstanding and unpaid or any LC Exposure is outstanding and so long as the Commitments have not expired or terminated.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Arial" w:cs="Arial" w:eastAsia="Arial" w:hAnsi="Arial"/>
          <w:sz w:val="21"/>
          <w:szCs w:val="21"/>
          <w:u w:val="single" w:color="auto"/>
          <w:color w:val="auto"/>
        </w:rPr>
        <w:t>Section 2.05(d)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2.05(e)</w:t>
      </w:r>
      <w:r>
        <w:rPr>
          <w:rFonts w:ascii="Arial" w:cs="Arial" w:eastAsia="Arial" w:hAnsi="Arial"/>
          <w:sz w:val="21"/>
          <w:szCs w:val="21"/>
          <w:color w:val="auto"/>
        </w:rPr>
        <w:t xml:space="preserve">. The provisions of </w:t>
      </w:r>
      <w:r>
        <w:rPr>
          <w:rFonts w:ascii="Arial" w:cs="Arial" w:eastAsia="Arial" w:hAnsi="Arial"/>
          <w:sz w:val="21"/>
          <w:szCs w:val="21"/>
          <w:u w:val="single" w:color="auto"/>
          <w:color w:val="auto"/>
        </w:rPr>
        <w:t>Sections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w:t>
      </w:r>
      <w:r>
        <w:rPr>
          <w:rFonts w:ascii="Arial" w:cs="Arial" w:eastAsia="Arial" w:hAnsi="Arial"/>
          <w:sz w:val="21"/>
          <w:szCs w:val="21"/>
          <w:u w:val="single" w:color="auto"/>
          <w:color w:val="auto"/>
        </w:rPr>
        <w:t>2.17</w:t>
      </w:r>
      <w:r>
        <w:rPr>
          <w:rFonts w:ascii="Arial" w:cs="Arial" w:eastAsia="Arial" w:hAnsi="Arial"/>
          <w:sz w:val="21"/>
          <w:szCs w:val="21"/>
          <w:color w:val="auto"/>
        </w:rPr>
        <w:t xml:space="preserve">, </w:t>
      </w:r>
      <w:r>
        <w:rPr>
          <w:rFonts w:ascii="Arial" w:cs="Arial" w:eastAsia="Arial" w:hAnsi="Arial"/>
          <w:sz w:val="21"/>
          <w:szCs w:val="21"/>
          <w:u w:val="single" w:color="auto"/>
          <w:color w:val="auto"/>
        </w:rPr>
        <w:t>2.18(e)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survive and remain in full force and effect regardless of the consummation of the transactions contemplated hereby, the repayment or prepayment of the Loans, the expiration or termination of the Letters of Credit and the Commitments or the termination of this Agreement or any provision hereof.</w:t>
      </w:r>
    </w:p>
    <w:p>
      <w:pPr>
        <w:spacing w:after="0" w:line="187"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9" w:lineRule="auto"/>
        <w:tabs>
          <w:tab w:leader="none" w:pos="1132" w:val="left"/>
        </w:tabs>
        <w:numPr>
          <w:ilvl w:val="1"/>
          <w:numId w:val="202"/>
        </w:numPr>
        <w:rPr>
          <w:rFonts w:ascii="Arial" w:cs="Arial" w:eastAsia="Arial" w:hAnsi="Arial"/>
          <w:sz w:val="21"/>
          <w:szCs w:val="21"/>
          <w:color w:val="auto"/>
        </w:rPr>
      </w:pPr>
      <w:r>
        <w:rPr>
          <w:rFonts w:ascii="Arial" w:cs="Arial" w:eastAsia="Arial" w:hAnsi="Arial"/>
          <w:sz w:val="21"/>
          <w:szCs w:val="21"/>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1"/>
          <w:szCs w:val="21"/>
          <w:u w:val="single" w:color="auto"/>
          <w:color w:val="auto"/>
        </w:rPr>
        <w:t>Section 4.01</w:t>
      </w:r>
      <w:r>
        <w:rPr>
          <w:rFonts w:ascii="Arial" w:cs="Arial" w:eastAsia="Arial" w:hAnsi="Arial"/>
          <w:sz w:val="21"/>
          <w:szCs w:val="21"/>
          <w:color w:val="auto"/>
        </w:rPr>
        <w:t>,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79" w:lineRule="exact"/>
        <w:rPr>
          <w:rFonts w:ascii="Arial" w:cs="Arial" w:eastAsia="Arial" w:hAnsi="Arial"/>
          <w:sz w:val="21"/>
          <w:szCs w:val="21"/>
          <w:color w:val="auto"/>
        </w:rPr>
      </w:pPr>
    </w:p>
    <w:p>
      <w:pPr>
        <w:ind w:left="1140" w:hanging="484"/>
        <w:spacing w:after="0"/>
        <w:tabs>
          <w:tab w:leader="none" w:pos="1140" w:val="left"/>
        </w:tabs>
        <w:numPr>
          <w:ilvl w:val="1"/>
          <w:numId w:val="202"/>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(x) this Agreement, (y) any other Loan Document and/or</w:t>
      </w:r>
    </w:p>
    <w:p>
      <w:pPr>
        <w:spacing w:after="0" w:line="55" w:lineRule="exact"/>
        <w:rPr>
          <w:rFonts w:ascii="Arial" w:cs="Arial" w:eastAsia="Arial" w:hAnsi="Arial"/>
          <w:sz w:val="19"/>
          <w:szCs w:val="19"/>
          <w:color w:val="auto"/>
        </w:rPr>
      </w:pPr>
    </w:p>
    <w:p>
      <w:pPr>
        <w:jc w:val="both"/>
        <w:ind w:firstLine="8"/>
        <w:spacing w:after="0" w:line="288" w:lineRule="auto"/>
        <w:tabs>
          <w:tab w:leader="none" w:pos="295"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any document, amendment, approval, consent, information, notice (including, for the avoidance of doubt, any notice delivered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certificate, request, statement, disclosure or authorization related to this Agreement, any other Loan Document and/or the transactions contemplated hereby and/or thereby (each an “</w:t>
      </w:r>
      <w:r>
        <w:rPr>
          <w:rFonts w:ascii="Arial" w:cs="Arial" w:eastAsia="Arial" w:hAnsi="Arial"/>
          <w:sz w:val="19"/>
          <w:szCs w:val="19"/>
          <w:u w:val="single" w:color="auto"/>
          <w:color w:val="auto"/>
        </w:rPr>
        <w:t>Ancillary Document</w:t>
      </w:r>
      <w:r>
        <w:rPr>
          <w:rFonts w:ascii="Arial" w:cs="Arial" w:eastAsia="Arial" w:hAnsi="Arial"/>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1240"/>
          </w:cols>
          <w:pgMar w:left="320" w:top="1428" w:right="339" w:bottom="1440" w:gutter="0" w:footer="0" w:header="0"/>
        </w:sectPr>
      </w:pPr>
    </w:p>
    <w:bookmarkStart w:id="236" w:name="page237"/>
    <w:bookmarkEnd w:id="236"/>
    <w:p>
      <w:pPr>
        <w:jc w:val="both"/>
        <w:spacing w:after="0" w:line="284" w:lineRule="auto"/>
        <w:rPr>
          <w:sz w:val="20"/>
          <w:szCs w:val="20"/>
          <w:color w:val="auto"/>
        </w:rPr>
      </w:pPr>
      <w:r>
        <w:rPr>
          <w:rFonts w:ascii="Arial" w:cs="Arial" w:eastAsia="Arial" w:hAnsi="Arial"/>
          <w:sz w:val="19"/>
          <w:szCs w:val="19"/>
          <w:color w:val="auto"/>
        </w:rPr>
        <w:t>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Borrowers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Borrowers and each Loan Party hereby (i) agree that, for all purposes, including without limitation, in connection with any workout, restructuring, enforcement of remedies, bankruptcy proceedings or litigation among the Administrative Agent, the Lenders,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9.07.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9.08. </w:t>
      </w:r>
      <w:r>
        <w:rPr>
          <w:rFonts w:ascii="Arial" w:cs="Arial" w:eastAsia="Arial" w:hAnsi="Arial"/>
          <w:sz w:val="22"/>
          <w:szCs w:val="22"/>
          <w:u w:val="single" w:color="auto"/>
          <w:color w:val="auto"/>
        </w:rPr>
        <w:t>Right of Setoff</w:t>
      </w:r>
      <w:r>
        <w:rPr>
          <w:rFonts w:ascii="Arial" w:cs="Arial" w:eastAsia="Arial" w:hAnsi="Arial"/>
          <w:sz w:val="22"/>
          <w:szCs w:val="22"/>
          <w:color w:val="auto"/>
        </w:rPr>
        <w:t>. If an Event of Default shall have occurred and be continuing, each Lender and each Issuing Bank is hereby authorized at any time and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ectPr>
          <w:pgSz w:w="11900" w:h="16838" w:orient="portrait"/>
          <w:cols w:equalWidth="0" w:num="1">
            <w:col w:w="11240"/>
          </w:cols>
          <w:pgMar w:left="320" w:top="1428" w:right="339" w:bottom="1440" w:gutter="0" w:footer="0" w:header="0"/>
        </w:sectPr>
      </w:pPr>
    </w:p>
    <w:bookmarkStart w:id="237" w:name="page238"/>
    <w:bookmarkEnd w:id="237"/>
    <w:p>
      <w:pPr>
        <w:jc w:val="both"/>
        <w:spacing w:after="0" w:line="258" w:lineRule="auto"/>
        <w:rPr>
          <w:sz w:val="20"/>
          <w:szCs w:val="20"/>
          <w:color w:val="auto"/>
        </w:rPr>
      </w:pPr>
      <w:r>
        <w:rPr>
          <w:rFonts w:ascii="Arial" w:cs="Arial" w:eastAsia="Arial" w:hAnsi="Arial"/>
          <w:sz w:val="21"/>
          <w:szCs w:val="21"/>
          <w:color w:val="auto"/>
        </w:rPr>
        <w:t xml:space="preserve">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such Issuing Bank to or for the credit or the account of the Borrowers against any of and all the obligations then due of the Borrowers now or hereafter existing under this Agreement held by such Lender or such Issuing Bank, irrespective of whether or not such Lender or such Issuing Bank shall have made any demand under this Agreement and although such obligations of the Borrowers are owed to a branch or office of such Lender or such Issuing Bank different from the branch or office holding such deposit or obligated on such Indebtedness. Each Lender and each Issuing Bank agrees to notify the Borrowers and the Administrative Agent promptly after any such setoff and application;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or any delay in giving such notice shall not affect the validity of any such setoff and application under this Section. The rights of each Lender and each Issuing Bank under this Section are in addition to other rights and remedies (including other rights of setoff) that such Lender or such Issuing Bank may have.</w:t>
      </w:r>
    </w:p>
    <w:p>
      <w:pPr>
        <w:spacing w:after="0" w:line="18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9.09.</w:t>
      </w:r>
      <w:r>
        <w:rPr>
          <w:sz w:val="20"/>
          <w:szCs w:val="20"/>
          <w:color w:val="auto"/>
        </w:rPr>
        <w:tab/>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3" w:lineRule="auto"/>
        <w:tabs>
          <w:tab w:leader="none" w:pos="118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This Agreement and any claim,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414" w:val="left"/>
        </w:tabs>
        <w:numPr>
          <w:ilvl w:val="0"/>
          <w:numId w:val="204"/>
        </w:numPr>
        <w:rPr>
          <w:rFonts w:ascii="Arial" w:cs="Arial" w:eastAsia="Arial" w:hAnsi="Arial"/>
          <w:sz w:val="22"/>
          <w:szCs w:val="22"/>
          <w:color w:val="auto"/>
        </w:rPr>
      </w:pPr>
      <w:r>
        <w:rPr>
          <w:rFonts w:ascii="Arial" w:cs="Arial" w:eastAsia="Arial" w:hAnsi="Arial"/>
          <w:sz w:val="22"/>
          <w:szCs w:val="22"/>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91" w:lineRule="exact"/>
        <w:rPr>
          <w:rFonts w:ascii="Arial" w:cs="Arial" w:eastAsia="Arial" w:hAnsi="Arial"/>
          <w:sz w:val="22"/>
          <w:szCs w:val="22"/>
          <w:color w:val="auto"/>
        </w:rPr>
      </w:pPr>
    </w:p>
    <w:p>
      <w:pPr>
        <w:jc w:val="both"/>
        <w:ind w:firstLine="656"/>
        <w:spacing w:after="0" w:line="287" w:lineRule="auto"/>
        <w:tabs>
          <w:tab w:leader="none" w:pos="116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Each of the Borrowers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against any Loan Party or any of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ectPr>
          <w:pgSz w:w="11900" w:h="16838" w:orient="portrait"/>
          <w:cols w:equalWidth="0" w:num="1">
            <w:col w:w="11240"/>
          </w:cols>
          <w:pgMar w:left="320" w:top="1428" w:right="339" w:bottom="1440" w:gutter="0" w:footer="0" w:header="0"/>
        </w:sectPr>
      </w:pPr>
    </w:p>
    <w:bookmarkStart w:id="238" w:name="page239"/>
    <w:bookmarkEnd w:id="238"/>
    <w:p>
      <w:pPr>
        <w:jc w:val="both"/>
        <w:ind w:firstLine="656"/>
        <w:spacing w:after="0" w:line="248" w:lineRule="auto"/>
        <w:tabs>
          <w:tab w:leader="none" w:pos="1158"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Each party hereto hereby irrevocably and unconditionally waives, to the fullest extent permitted by applicable law, any objection that it may now or hereafter have to the laying of venue of any action, litigation or proceeding arising out of or relating to this Agreement or any other Loan Document in any court referred to in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91" w:lineRule="exact"/>
        <w:rPr>
          <w:rFonts w:ascii="Arial" w:cs="Arial" w:eastAsia="Arial" w:hAnsi="Arial"/>
          <w:sz w:val="22"/>
          <w:szCs w:val="22"/>
          <w:color w:val="auto"/>
        </w:rPr>
      </w:pPr>
    </w:p>
    <w:p>
      <w:pPr>
        <w:jc w:val="both"/>
        <w:ind w:firstLine="656"/>
        <w:spacing w:after="0" w:line="294" w:lineRule="auto"/>
        <w:tabs>
          <w:tab w:leader="none" w:pos="1232"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Each party to this Agreement irrevocably consents to service of process in the manner provided for notices in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hereby acknowledges that it has appointed C T CORPORATION SYSTEM, 28 Liberty Street, New York, New York 10005, as its agent for service of process, and agrees that service of any process, summons, notice or document by hand delivery or registered mail upon such agent shall be effective service of process for any suit, action or proceeding brought in any court referred to in </w:t>
      </w:r>
      <w:r>
        <w:rPr>
          <w:rFonts w:ascii="Arial" w:cs="Arial" w:eastAsia="Arial" w:hAnsi="Arial"/>
          <w:sz w:val="19"/>
          <w:szCs w:val="19"/>
          <w:u w:val="single" w:color="auto"/>
          <w:color w:val="auto"/>
        </w:rPr>
        <w:t>Section 9.09(c)</w:t>
      </w:r>
      <w:r>
        <w:rPr>
          <w:rFonts w:ascii="Arial" w:cs="Arial" w:eastAsia="Arial" w:hAnsi="Arial"/>
          <w:sz w:val="19"/>
          <w:szCs w:val="19"/>
          <w:color w:val="auto"/>
        </w:rPr>
        <w:t>. Nothing in this Agreement or any other Loan Document will affect the right of any party to this Agreement to serve process in any other manner permitted by law.</w:t>
      </w:r>
    </w:p>
    <w:p>
      <w:pPr>
        <w:spacing w:after="0" w:line="14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9.12. </w:t>
      </w:r>
      <w:r>
        <w:rPr>
          <w:rFonts w:ascii="Arial" w:cs="Arial" w:eastAsia="Arial" w:hAnsi="Arial"/>
          <w:sz w:val="21"/>
          <w:szCs w:val="21"/>
          <w:u w:val="single" w:color="auto"/>
          <w:color w:val="auto"/>
        </w:rPr>
        <w:t>Confidentiality</w:t>
      </w:r>
      <w:r>
        <w:rPr>
          <w:rFonts w:ascii="Arial" w:cs="Arial" w:eastAsia="Arial" w:hAnsi="Arial"/>
          <w:sz w:val="21"/>
          <w:szCs w:val="21"/>
          <w:color w:val="auto"/>
        </w:rPr>
        <w:t>. Each of the Administrative Agent, the Lenders and the Issuing Banks agrees to maintain the confidentiality of the Information (as defined below), except that Information may be disclosed (a) to its and its Affiliates’ directors, officers, employees and agents, including accountants, legal counsel and other advisors, it being understood and agreed that the Persons to whom such disclosure is made will be informed of the confidential nature of such Information and instructed to keep such Information confidential, (b) to the extent required or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ectPr>
          <w:pgSz w:w="11900" w:h="16838" w:orient="portrait"/>
          <w:cols w:equalWidth="0" w:num="1">
            <w:col w:w="11240"/>
          </w:cols>
          <w:pgMar w:left="320" w:top="1428" w:right="339" w:bottom="1440" w:gutter="0" w:footer="0" w:header="0"/>
        </w:sectPr>
      </w:pPr>
    </w:p>
    <w:bookmarkStart w:id="239" w:name="page240"/>
    <w:bookmarkEnd w:id="239"/>
    <w:p>
      <w:pPr>
        <w:jc w:val="both"/>
        <w:spacing w:after="0" w:line="284" w:lineRule="auto"/>
        <w:rPr>
          <w:sz w:val="20"/>
          <w:szCs w:val="20"/>
          <w:color w:val="auto"/>
        </w:rPr>
      </w:pPr>
      <w:r>
        <w:rPr>
          <w:rFonts w:ascii="Arial" w:cs="Arial" w:eastAsia="Arial" w:hAnsi="Arial"/>
          <w:sz w:val="19"/>
          <w:szCs w:val="19"/>
          <w:color w:val="auto"/>
        </w:rPr>
        <w:t>Agreement or any other Loan Document or any Proceeding relating to this Agreement or any other Loan Document or the enforcement of rights hereunder or thereunder, (f) subject to an agreement containing confidentiality undertakings substantially similar to those of this Section, to (i) any assignee of or Participant in, or any prospective assignee of or Participant in, any of its rights or obligations under this Agreement (including, for the avoidance of doubt, the Disqualified Institutions List for the purpose of determining if a potential assignee is a Disqualified Institution) or (ii) any actual or prospective counterparty (or its Related Parties) to any Hedging Agreement, Cash Management Services or Bilateral Facility (including any Supply Chain Bank Purchaser) relating to the Borrowers or any Subsidiary and their obligations hereunder or under any other Loan Document, (g) on a confidential basis to (i) any rating agency in connection with rating the Borrowers or their Subsidiaries or the credit facility provided for herein or (ii) the CUSIP Service Bureau or any similar agency in connection with the issuance and monitoring of identification numbers with respect to the credit facility provided for herein, (h) with the consent of the Borrowers, (i) to the extent such Information (i) becomes publicly available other than as a result of a breach of this Section or (ii) becomes available to the Administrative Agent, any Lender or any Issuing Bank or any Affiliate of any of the foregoing on a nonconfidential basis from a source other than the Borrowers or (j) to any credit insurance provider or potential credit insurance provider relating to the Borrowers or their Obligations. 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the Borrowers relating to the Borrowers or any Subsidiary or their businesses, other than any such information that is available to the Administrative Agent, any Lender or any Issuing Bank on a nonconfidential basis prior to disclosure by the Borrowers and other than information pertaining to this Agreement routinely provided by arrangers to data service providers, including league table providers, that serve the lending industry;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xml:space="preserve">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Section shall be cumulated and the interest and Charges payable to such Lender in respect of other Loans or LC Disbursements or participation therein or periods shall be increased (but not above the Maximum Rate therefor) until such cumulated amount, together with interest thereon at the NYFRB Rate to the date of repayment, shall have been received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ectPr>
          <w:pgSz w:w="11900" w:h="16838" w:orient="portrait"/>
          <w:cols w:equalWidth="0" w:num="1">
            <w:col w:w="11240"/>
          </w:cols>
          <w:pgMar w:left="320" w:top="1428" w:right="339" w:bottom="1440" w:gutter="0" w:footer="0" w:header="0"/>
        </w:sectPr>
      </w:pPr>
    </w:p>
    <w:bookmarkStart w:id="240" w:name="page241"/>
    <w:bookmarkEnd w:id="240"/>
    <w:p>
      <w:pPr>
        <w:jc w:val="both"/>
        <w:ind w:firstLine="648"/>
        <w:spacing w:after="0" w:line="284"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Release of Liens and Guarantees</w:t>
      </w:r>
      <w:r>
        <w:rPr>
          <w:rFonts w:ascii="Arial" w:cs="Arial" w:eastAsia="Arial" w:hAnsi="Arial"/>
          <w:sz w:val="19"/>
          <w:szCs w:val="19"/>
          <w:color w:val="auto"/>
        </w:rPr>
        <w:t xml:space="preserve">. Subject to the reinstatement provisions set forth in the New York-Law Guarantee or any Security Document, a Guarantor shall automatically be released from its obligations under the Loan Documents, and all security interests created by the Security Documents in Collateral owned by such Guarantor shall be automatically released, upon the consummation of any transaction permitted by this Agreement as a result of which such Guarantor ceases to be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so required by this Agreement, the Required Lenders shall have consented to such transaction and the terms of such consent shall not have provided otherwise. Upon any sale or other transfer by any Loan Party (other than to the Borrowers or any other Loan Party) of any Collateral in a transaction permitted under this Agreement, or upon the effectiveness of any written consent to the release of the security interest created under any Security Document in any Collateral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the security interests in such Collateral created by the Security Documents shall be automatically released. Upon payment in full of the Loan Document Obligations (other than contingent amounts not yet due), expiration or termination of all Commitments and the expiration or termination of all Letters of Credit (other than those collateralized or back-stopped on terms reasonably satisfactory to the applicable Issuing Bank) and reimbursement of all LC Disbursements, the security interests granted to the Administrative Agent pursuant to the Security Documents shall terminate. In connection with any termination or release pursuant to this Section,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Each of the Secured Parties irrevocably authorizes the Administrative Agent, at its option and in its discretion, to effect the releases set forth in this Section, the Borrowers shall deliver to the Administrative Agent such officer’s certificates as the Administrative Agent may reasonably request to evidence compliance with the applicable provisions of the Loan Documents (including the Administrative Agent’s authority hereunder) and the Secured Parties acknowledge and agree that the Administrative Agent may rely, without independent investigation on such certificates.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USA PATRIOT Act Notice</w:t>
      </w:r>
      <w:r>
        <w:rPr>
          <w:rFonts w:ascii="Arial" w:cs="Arial" w:eastAsia="Arial" w:hAnsi="Arial"/>
          <w:sz w:val="19"/>
          <w:szCs w:val="19"/>
          <w:color w:val="auto"/>
        </w:rPr>
        <w:t>. Each Lender, each Issuing Bank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such Issuing Bank or the Administrative Agent, as applicable, to identify such Loan Party in accordance with the USA PATRIOT Act, and each Loan Party agrees to provide such information from time to time to such Lender, such Issuing Bank and the Administrative Agent, as applicable.</w:t>
      </w:r>
    </w:p>
    <w:p>
      <w:pPr>
        <w:spacing w:after="0" w:line="1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9.16. </w:t>
      </w:r>
      <w:r>
        <w:rPr>
          <w:rFonts w:ascii="Arial" w:cs="Arial" w:eastAsia="Arial" w:hAnsi="Arial"/>
          <w:sz w:val="22"/>
          <w:szCs w:val="22"/>
          <w:u w:val="single" w:color="auto"/>
          <w:color w:val="auto"/>
        </w:rPr>
        <w:t>No Fiduciary Relationship</w:t>
      </w:r>
      <w:r>
        <w:rPr>
          <w:rFonts w:ascii="Arial" w:cs="Arial" w:eastAsia="Arial" w:hAnsi="Arial"/>
          <w:sz w:val="22"/>
          <w:szCs w:val="22"/>
          <w:color w:val="auto"/>
        </w:rPr>
        <w:t>. The Borrowers acknowledge and agree, and acknowledge their Subsidiaries’ understanding, that no Credit Party will have any obligations except those obligations expressly set forth herein and in the other Loan Documents and each Credit Party is acting solely in the capacity of an arm’s length contractual counterparty to the Borrowers with respect to the Loan Documents and the transaction contemplated therein and not as a financial advisor or a fiduciary to, or an agent of, the Borrowers or any other person. The Borrowers agree that they will not assert any claim against any Credit Party based 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ectPr>
          <w:pgSz w:w="11900" w:h="16838" w:orient="portrait"/>
          <w:cols w:equalWidth="0" w:num="1">
            <w:col w:w="11240"/>
          </w:cols>
          <w:pgMar w:left="320" w:top="1428" w:right="339" w:bottom="1440" w:gutter="0" w:footer="0" w:header="0"/>
        </w:sectPr>
      </w:pPr>
    </w:p>
    <w:bookmarkStart w:id="241" w:name="page242"/>
    <w:bookmarkEnd w:id="241"/>
    <w:p>
      <w:pPr>
        <w:jc w:val="both"/>
        <w:spacing w:after="0" w:line="297" w:lineRule="auto"/>
        <w:rPr>
          <w:sz w:val="20"/>
          <w:szCs w:val="20"/>
          <w:color w:val="auto"/>
        </w:rPr>
      </w:pPr>
      <w:r>
        <w:rPr>
          <w:rFonts w:ascii="Arial" w:cs="Arial" w:eastAsia="Arial" w:hAnsi="Arial"/>
          <w:sz w:val="19"/>
          <w:szCs w:val="19"/>
          <w:color w:val="auto"/>
        </w:rPr>
        <w:t>alleged breach of fiduciary duty by such Credit Party in connection with this Agreement and the transactions contemplated hereby. Additionally, the Borrowers acknowledge and agree that no Credit Party is advising the Borrowers as to any legal, tax, investment, accounting, regulatory or any other matters in any jurisdiction. The Borrowers shall consult with their own advisors concerning such matters and shall be responsible for making their own independent investigation and appraisal of the transactions contemplated hereby, and the Credit Parties shall have no responsibility or liability to the Borrowers with respect thereto.</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Borrowers further acknowledge and agree, and acknowledge their Subsidiaries’ understanding, that each Credit Party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you and other companies with which you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addition, the Borrowers acknowledge and agree, and acknowledge their Subsidiaries’ understanding, that each Credit Party and its affiliates may be providing debt financing, equity capital or other services (including financial advisory services) to other companies in respect of which you may have conflicting interests regarding the transactions described herein and otherwise. No Credit Party will use confidential information obtained from you by virtue of the transactions contemplated by the Loan Documents or its other relationships with you in connection with the performance by such Credit Party of services for other companies, and no Credit Party will furnish any such information to other companies. You also acknowledge that no Credit Party has any obligation to use in connection with the transactions contemplated by the Loan Documents, or to furnish to you, confidential information obtained from other companies.</w:t>
      </w:r>
    </w:p>
    <w:p>
      <w:pPr>
        <w:spacing w:after="0" w:line="183"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9.17.</w:t>
      </w:r>
      <w:r>
        <w:rPr>
          <w:sz w:val="20"/>
          <w:szCs w:val="20"/>
          <w:color w:val="auto"/>
        </w:rPr>
        <w:tab/>
      </w:r>
      <w:r>
        <w:rPr>
          <w:rFonts w:ascii="Arial" w:cs="Arial" w:eastAsia="Arial" w:hAnsi="Arial"/>
          <w:sz w:val="19"/>
          <w:szCs w:val="19"/>
          <w:u w:val="single" w:color="auto"/>
          <w:color w:val="auto"/>
        </w:rPr>
        <w:t>Non-Public Information</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92" w:lineRule="auto"/>
        <w:tabs>
          <w:tab w:leader="none" w:pos="116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Each Lender acknowledges that all information, including requests for waivers and amendments, furnished by the Borrowers or the Administrative Agent pursuant to or in connection with, or in the course of administering, this Agreement will be syndicate-level information, which may contain MNPI. Each Lender represents to the Borrowers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spacing w:after="0" w:line="150" w:lineRule="exact"/>
        <w:rPr>
          <w:rFonts w:ascii="Arial" w:cs="Arial" w:eastAsia="Arial" w:hAnsi="Arial"/>
          <w:sz w:val="19"/>
          <w:szCs w:val="19"/>
          <w:color w:val="auto"/>
        </w:rPr>
      </w:pPr>
    </w:p>
    <w:p>
      <w:pPr>
        <w:ind w:right="20" w:firstLine="656"/>
        <w:spacing w:after="0" w:line="263" w:lineRule="auto"/>
        <w:tabs>
          <w:tab w:leader="none" w:pos="12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Borrowers and each Lender acknowledge that, if information furnished by the Borrowers pursuant to or in connection with this Agreement is being distributed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1240"/>
          </w:cols>
          <w:pgMar w:left="320" w:top="1428" w:right="339" w:bottom="1440" w:gutter="0" w:footer="0" w:header="0"/>
        </w:sectPr>
      </w:pPr>
    </w:p>
    <w:bookmarkStart w:id="242" w:name="page243"/>
    <w:bookmarkEnd w:id="242"/>
    <w:p>
      <w:pPr>
        <w:spacing w:after="0" w:line="291" w:lineRule="auto"/>
        <w:rPr>
          <w:sz w:val="20"/>
          <w:szCs w:val="20"/>
          <w:color w:val="auto"/>
        </w:rPr>
      </w:pPr>
      <w:r>
        <w:rPr>
          <w:rFonts w:ascii="Arial" w:cs="Arial" w:eastAsia="Arial" w:hAnsi="Arial"/>
          <w:sz w:val="19"/>
          <w:szCs w:val="19"/>
          <w:color w:val="auto"/>
        </w:rPr>
        <w:t>Administrative Agent through the Platform, (i) the Administrative Agent may post any information that the Borrowers have indicated as containing MNPI solely on that portion of the Platform as is designated for private side Lender representatives and</w:t>
      </w:r>
    </w:p>
    <w:p>
      <w:pPr>
        <w:spacing w:after="0" w:line="1" w:lineRule="exact"/>
        <w:rPr>
          <w:sz w:val="20"/>
          <w:szCs w:val="20"/>
          <w:color w:val="auto"/>
        </w:rPr>
      </w:pPr>
    </w:p>
    <w:p>
      <w:pPr>
        <w:jc w:val="both"/>
        <w:ind w:firstLine="8"/>
        <w:spacing w:after="0" w:line="244" w:lineRule="auto"/>
        <w:tabs>
          <w:tab w:leader="none" w:pos="321" w:val="left"/>
        </w:tabs>
        <w:numPr>
          <w:ilvl w:val="0"/>
          <w:numId w:val="207"/>
        </w:numPr>
        <w:rPr>
          <w:rFonts w:ascii="Arial" w:cs="Arial" w:eastAsia="Arial" w:hAnsi="Arial"/>
          <w:sz w:val="22"/>
          <w:szCs w:val="22"/>
          <w:color w:val="auto"/>
        </w:rPr>
      </w:pPr>
      <w:r>
        <w:rPr>
          <w:rFonts w:ascii="Arial" w:cs="Arial" w:eastAsia="Arial" w:hAnsi="Arial"/>
          <w:sz w:val="22"/>
          <w:szCs w:val="22"/>
          <w:color w:val="auto"/>
        </w:rPr>
        <w:t>if the Borrowers have not indicated whether any information furnished by it pursuant to or in connection with this Agreement contains MNPI, the Administrative Agent reserves the right to post such information solely on that portion of the Platform as is designated for private side Lender representatives. The Borrowers agree to clearly designate all information provided to the Administrative Agent by or on behalf of the Borrowers that is suitable to be made available to public side Lender representatives, and the Administrative Agent shall be entitled to rely on any such designation by the Borrowers without liability or responsibility for the independent verification thereof.</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9.18.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92" w:lineRule="exact"/>
        <w:rPr>
          <w:sz w:val="20"/>
          <w:szCs w:val="20"/>
          <w:color w:val="auto"/>
        </w:rPr>
      </w:pPr>
    </w:p>
    <w:p>
      <w:pPr>
        <w:ind w:firstLine="656"/>
        <w:spacing w:after="0" w:line="343" w:lineRule="auto"/>
        <w:tabs>
          <w:tab w:leader="none" w:pos="122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Arial" w:cs="Arial" w:eastAsia="Arial" w:hAnsi="Arial"/>
          <w:sz w:val="19"/>
          <w:szCs w:val="19"/>
          <w:color w:val="auto"/>
        </w:rPr>
      </w:pPr>
    </w:p>
    <w:p>
      <w:pPr>
        <w:ind w:left="1120" w:hanging="464"/>
        <w:spacing w:after="0"/>
        <w:tabs>
          <w:tab w:leader="none" w:pos="112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208"/>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903" w:val="left"/>
        </w:tabs>
        <w:numPr>
          <w:ilvl w:val="1"/>
          <w:numId w:val="208"/>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rFonts w:ascii="Arial" w:cs="Arial" w:eastAsia="Arial" w:hAnsi="Arial"/>
          <w:sz w:val="22"/>
          <w:szCs w:val="22"/>
          <w:color w:val="auto"/>
        </w:rPr>
      </w:pPr>
    </w:p>
    <w:p>
      <w:pPr>
        <w:ind w:left="660" w:firstLine="644"/>
        <w:spacing w:after="0" w:line="263" w:lineRule="auto"/>
        <w:tabs>
          <w:tab w:leader="none" w:pos="2050" w:val="left"/>
        </w:tabs>
        <w:numPr>
          <w:ilvl w:val="1"/>
          <w:numId w:val="208"/>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9.19. </w:t>
      </w:r>
      <w:r>
        <w:rPr>
          <w:rFonts w:ascii="Arial" w:cs="Arial" w:eastAsia="Arial" w:hAnsi="Arial"/>
          <w:sz w:val="21"/>
          <w:szCs w:val="21"/>
          <w:u w:val="single" w:color="auto"/>
          <w:color w:val="auto"/>
        </w:rPr>
        <w:t>Acknowledgement Regarding Any Supported QFCs</w:t>
      </w:r>
      <w:r>
        <w:rPr>
          <w:rFonts w:ascii="Arial" w:cs="Arial" w:eastAsia="Arial" w:hAnsi="Arial"/>
          <w:sz w:val="21"/>
          <w:szCs w:val="21"/>
          <w:color w:val="auto"/>
        </w:rPr>
        <w:t>. To the extent that the Loan Documents provide support, through a guarantee or otherwise, for any agreement or instrument that is a QFC (such support, “</w:t>
      </w:r>
      <w:r>
        <w:rPr>
          <w:rFonts w:ascii="Arial" w:cs="Arial" w:eastAsia="Arial" w:hAnsi="Arial"/>
          <w:sz w:val="21"/>
          <w:szCs w:val="21"/>
          <w:u w:val="single" w:color="auto"/>
          <w:color w:val="auto"/>
        </w:rPr>
        <w:t>QFC Credit Support</w:t>
      </w:r>
      <w:r>
        <w:rPr>
          <w:rFonts w:ascii="Arial" w:cs="Arial" w:eastAsia="Arial" w:hAnsi="Arial"/>
          <w:sz w:val="21"/>
          <w:szCs w:val="21"/>
          <w:color w:val="auto"/>
        </w:rPr>
        <w:t>”, and each such QFC, a “</w:t>
      </w:r>
      <w:r>
        <w:rPr>
          <w:rFonts w:ascii="Arial" w:cs="Arial" w:eastAsia="Arial" w:hAnsi="Arial"/>
          <w:sz w:val="21"/>
          <w:szCs w:val="21"/>
          <w:u w:val="single" w:color="auto"/>
          <w:color w:val="auto"/>
        </w:rPr>
        <w:t>Supported QFC</w:t>
      </w:r>
      <w:r>
        <w:rPr>
          <w:rFonts w:ascii="Arial" w:cs="Arial" w:eastAsia="Arial" w:hAnsi="Arial"/>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1"/>
          <w:szCs w:val="21"/>
          <w:u w:val="single" w:color="auto"/>
          <w:color w:val="auto"/>
        </w:rPr>
        <w:t>U.S. Special Resolution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Regimes</w:t>
      </w:r>
      <w:r>
        <w:rPr>
          <w:rFonts w:ascii="Arial" w:cs="Arial" w:eastAsia="Arial" w:hAnsi="Arial"/>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ectPr>
          <w:pgSz w:w="11900" w:h="16838" w:orient="portrait"/>
          <w:cols w:equalWidth="0" w:num="1">
            <w:col w:w="11240"/>
          </w:cols>
          <w:pgMar w:left="320" w:top="1428" w:right="339" w:bottom="1440" w:gutter="0" w:footer="0" w:header="0"/>
        </w:sectPr>
      </w:pPr>
    </w:p>
    <w:bookmarkStart w:id="243" w:name="page244"/>
    <w:bookmarkEnd w:id="243"/>
    <w:p>
      <w:pPr>
        <w:jc w:val="both"/>
        <w:ind w:firstLine="656"/>
        <w:spacing w:after="0" w:line="286" w:lineRule="auto"/>
        <w:tabs>
          <w:tab w:leader="none" w:pos="120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rFonts w:ascii="Arial" w:cs="Arial" w:eastAsia="Arial" w:hAnsi="Arial"/>
          <w:sz w:val="19"/>
          <w:szCs w:val="19"/>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9.19</w:t>
      </w:r>
      <w:r>
        <w:rPr>
          <w:rFonts w:ascii="Arial" w:cs="Arial" w:eastAsia="Arial" w:hAnsi="Arial"/>
          <w:sz w:val="22"/>
          <w:szCs w:val="22"/>
          <w:color w:val="auto"/>
        </w:rPr>
        <w:t>, the following terms have the following meanings:</w:t>
      </w:r>
    </w:p>
    <w:p>
      <w:pPr>
        <w:spacing w:after="0" w:line="220"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5"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 (i) a “covered entity” as that term is defined in, and interpreted in accordance with, 12 C.F.R. § 252.82 (b); (ii) a “covered bank” as that term is defined in, and interpreted in accordance with, 12 C.F.R. § 47.3(b); or (iii) a “covered FSI” as that term is defined in, and interpreted in accordance with, 12 C.F.R. § 382.2(b).</w:t>
      </w:r>
    </w:p>
    <w:p>
      <w:pPr>
        <w:spacing w:after="0" w:line="188"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75"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9.20. </w:t>
      </w:r>
      <w:r>
        <w:rPr>
          <w:rFonts w:ascii="Arial" w:cs="Arial" w:eastAsia="Arial" w:hAnsi="Arial"/>
          <w:sz w:val="21"/>
          <w:szCs w:val="21"/>
          <w:u w:val="single" w:color="auto"/>
          <w:color w:val="auto"/>
        </w:rPr>
        <w:t>Judgment Currency</w:t>
      </w:r>
      <w:r>
        <w:rPr>
          <w:rFonts w:ascii="Arial" w:cs="Arial" w:eastAsia="Arial" w:hAnsi="Arial"/>
          <w:sz w:val="21"/>
          <w:szCs w:val="21"/>
          <w:color w:val="auto"/>
        </w:rPr>
        <w:t>. If for the purposes of obtaining judgment in any court it is necessary to convert a sum due from any Borrower hereunder in the currency expressed to be payable herein (the “</w:t>
      </w:r>
      <w:r>
        <w:rPr>
          <w:rFonts w:ascii="Arial" w:cs="Arial" w:eastAsia="Arial" w:hAnsi="Arial"/>
          <w:sz w:val="21"/>
          <w:szCs w:val="21"/>
          <w:u w:val="single" w:color="auto"/>
          <w:color w:val="auto"/>
        </w:rPr>
        <w:t>specified currency</w:t>
      </w:r>
      <w:r>
        <w:rPr>
          <w:rFonts w:ascii="Arial" w:cs="Arial" w:eastAsia="Arial" w:hAnsi="Arial"/>
          <w:sz w:val="21"/>
          <w:szCs w:val="21"/>
          <w:color w:val="auto"/>
        </w:rPr>
        <w:t>”) into another currency, the parties hereto agree, to the fullest extent that they may effectively do so, that the rate of exchange used shall be that at which in accordance with usual and customary banking procedures the Administrative Agent could purchase the specified currency with such other currency at any of the Administrative Agent’s offices in the United States of America on the Business Day preceding that on which final judgment is given. The obligations of such Borrower in respect of any sum due to any Credit Party hereunder or under the other Loan Documents shall, notwithstanding any judgment in a currency other than the specified currency, be discharged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ectPr>
          <w:pgSz w:w="11900" w:h="16838" w:orient="portrait"/>
          <w:cols w:equalWidth="0" w:num="1">
            <w:col w:w="11240"/>
          </w:cols>
          <w:pgMar w:left="320" w:top="1428" w:right="339" w:bottom="1440" w:gutter="0" w:footer="0" w:header="0"/>
        </w:sectPr>
      </w:pPr>
    </w:p>
    <w:bookmarkStart w:id="244" w:name="page245"/>
    <w:bookmarkEnd w:id="244"/>
    <w:p>
      <w:pPr>
        <w:jc w:val="both"/>
        <w:spacing w:after="0" w:line="287" w:lineRule="auto"/>
        <w:rPr>
          <w:sz w:val="20"/>
          <w:szCs w:val="20"/>
          <w:color w:val="auto"/>
        </w:rPr>
      </w:pPr>
      <w:r>
        <w:rPr>
          <w:rFonts w:ascii="Arial" w:cs="Arial" w:eastAsia="Arial" w:hAnsi="Arial"/>
          <w:sz w:val="19"/>
          <w:szCs w:val="19"/>
          <w:color w:val="auto"/>
        </w:rPr>
        <w:t xml:space="preserve">only to the extent that on the Business Day following receipt by such Lender, the applicable Issuing Bank or the Administrative Agent (as the case may be) of any sum adjudged to be so due in such other currency such Lender, the applicable Issuing Bank or the Administrative Agent (as the case may be) may in accordance with normal, reasonable banking procedures purchase the specified currency with such other currency. If the amount of the specified currency so purchased is less than the sum originally due to such Lender, the applicable Issuing Bank or the Administrative Agent, as the case may be, in the specified currency, such Borrower agrees, to the fullest extent that it may effectively do so, as a separate obligation and notwithstanding any such judgment, to indemnify such Lender, the applicable Issuing Bank or the Administrative Agent, as the case may be, against such loss, and if the amount of the specified currency so purchased exceeds (a) the sum originally due to any Lender, the applicable Issuing Bank or the Administrative Agent, as the case may be, in the specified currency and (b) any amounts shared with other Lenders as a result of allocations of such excess as a disproportionate payment to such Lender under </w:t>
      </w:r>
      <w:r>
        <w:rPr>
          <w:rFonts w:ascii="Arial" w:cs="Arial" w:eastAsia="Arial" w:hAnsi="Arial"/>
          <w:sz w:val="19"/>
          <w:szCs w:val="19"/>
          <w:u w:val="single" w:color="auto"/>
          <w:color w:val="auto"/>
        </w:rPr>
        <w:t>Section 2.18</w:t>
      </w:r>
      <w:r>
        <w:rPr>
          <w:rFonts w:ascii="Arial" w:cs="Arial" w:eastAsia="Arial" w:hAnsi="Arial"/>
          <w:sz w:val="19"/>
          <w:szCs w:val="19"/>
          <w:color w:val="auto"/>
        </w:rPr>
        <w:t>, each Lender, Issuing Bank or the Administrative Agent, as the case may be, agrees to promptly remit such excess to such Borrower (or to any other Person who may be entitled thereto under applicable law).</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9.21. </w:t>
      </w:r>
      <w:r>
        <w:rPr>
          <w:rFonts w:ascii="Arial" w:cs="Arial" w:eastAsia="Arial" w:hAnsi="Arial"/>
          <w:sz w:val="21"/>
          <w:szCs w:val="21"/>
          <w:u w:val="single" w:color="auto"/>
          <w:color w:val="auto"/>
        </w:rPr>
        <w:t>Borrower Representative</w:t>
      </w:r>
      <w:r>
        <w:rPr>
          <w:rFonts w:ascii="Arial" w:cs="Arial" w:eastAsia="Arial" w:hAnsi="Arial"/>
          <w:sz w:val="21"/>
          <w:szCs w:val="21"/>
          <w:color w:val="auto"/>
        </w:rPr>
        <w:t xml:space="preserve">. The U.S. Borrower hereby irrevocably appoints the Company as its agent for all purposes of this Agreement and the other Loan Documents, including with respect to (i) the giving and receipt of notices (including any Borrowing Request) and (ii) the execution and delivery of all documents, instruments and certificates contemplated herein. Notwithstanding anything to the contrary contained herein or in any other Loan Document, the U.S. Borrower hereby acknowledges that any amendment or other modification to this Agreement or any other Loan Document may be effected as set forth in </w:t>
      </w:r>
      <w:r>
        <w:rPr>
          <w:rFonts w:ascii="Arial" w:cs="Arial" w:eastAsia="Arial" w:hAnsi="Arial"/>
          <w:sz w:val="21"/>
          <w:szCs w:val="21"/>
          <w:u w:val="single" w:color="auto"/>
          <w:color w:val="auto"/>
        </w:rPr>
        <w:t>Section 9.02</w:t>
      </w:r>
      <w:r>
        <w:rPr>
          <w:rFonts w:ascii="Arial" w:cs="Arial" w:eastAsia="Arial" w:hAnsi="Arial"/>
          <w:sz w:val="21"/>
          <w:szCs w:val="21"/>
          <w:color w:val="auto"/>
        </w:rPr>
        <w:t>, that no consent of the U.S. Borrower shall be required to effect any such amendment or other modification and that the U.S. Borrower shall be bound by this Agreement or any other Loan Document (to which it is already a party) as so amended or modified.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ectPr>
          <w:pgSz w:w="11900" w:h="16838" w:orient="portrait"/>
          <w:cols w:equalWidth="0" w:num="1">
            <w:col w:w="11240"/>
          </w:cols>
          <w:pgMar w:left="320" w:top="1428" w:right="339" w:bottom="1440" w:gutter="0" w:footer="0" w:header="0"/>
        </w:sectPr>
      </w:pPr>
    </w:p>
    <w:bookmarkStart w:id="245" w:name="page246"/>
    <w:bookmarkEnd w:id="245"/>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FMC TECHNOLOGIES,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the Credit Agreement of TechnipFMC and FMC Technologies]</w:t>
      </w:r>
    </w:p>
    <w:p>
      <w:pPr>
        <w:sectPr>
          <w:pgSz w:w="11900" w:h="16838" w:orient="portrait"/>
          <w:cols w:equalWidth="0" w:num="1">
            <w:col w:w="11240"/>
          </w:cols>
          <w:pgMar w:left="320" w:top="1428" w:right="339" w:bottom="1440" w:gutter="0" w:footer="0" w:header="0"/>
        </w:sectPr>
      </w:pPr>
    </w:p>
    <w:bookmarkStart w:id="246" w:name="page247"/>
    <w:bookmarkEnd w:id="246"/>
    <w:p>
      <w:pPr>
        <w:ind w:left="390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as Administrative Agent, individually 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[Signature Page to the Credit Agreement of TechnipFMC and FMC Technologies]</w:t>
      </w:r>
    </w:p>
    <w:p>
      <w:pPr>
        <w:sectPr>
          <w:pgSz w:w="11900" w:h="16838" w:orient="portrait"/>
          <w:cols w:equalWidth="0" w:num="1">
            <w:col w:w="10260"/>
          </w:cols>
          <w:pgMar w:left="320" w:top="1428" w:right="1319" w:bottom="1440" w:gutter="0" w:footer="0" w:header="0"/>
        </w:sectPr>
      </w:pPr>
    </w:p>
    <w:bookmarkStart w:id="247" w:name="page248"/>
    <w:bookmarkEnd w:id="247"/>
    <w:p>
      <w:pPr>
        <w:ind w:left="3900"/>
        <w:spacing w:after="0"/>
        <w:rPr>
          <w:sz w:val="20"/>
          <w:szCs w:val="20"/>
          <w:color w:val="auto"/>
        </w:rPr>
      </w:pPr>
      <w:r>
        <w:rPr>
          <w:rFonts w:ascii="Arial" w:cs="Arial" w:eastAsia="Arial" w:hAnsi="Arial"/>
          <w:sz w:val="22"/>
          <w:szCs w:val="22"/>
          <w:color w:val="auto"/>
        </w:rPr>
        <w:t>[ ],</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By:___________________________________</w:t>
      </w:r>
    </w:p>
    <w:p>
      <w:pPr>
        <w:spacing w:after="0" w:line="5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[Signature Page to the Credit Agreement of TechnipFMC and FMC Technologies]</w:t>
      </w:r>
    </w:p>
    <w:p>
      <w:pPr>
        <w:sectPr>
          <w:pgSz w:w="11900" w:h="16838" w:orient="portrait"/>
          <w:cols w:equalWidth="0" w:num="1">
            <w:col w:w="10139"/>
          </w:cols>
          <w:pgMar w:left="320" w:top="1428" w:right="1440" w:bottom="1440" w:gutter="0" w:footer="0" w:header="0"/>
        </w:sectPr>
      </w:pPr>
    </w:p>
    <w:bookmarkStart w:id="248" w:name="page249"/>
    <w:bookmarkEnd w:id="248"/>
    <w:p>
      <w:pPr>
        <w:ind w:left="3900"/>
        <w:spacing w:after="0"/>
        <w:rPr>
          <w:sz w:val="20"/>
          <w:szCs w:val="20"/>
          <w:color w:val="auto"/>
        </w:rPr>
      </w:pPr>
      <w:r>
        <w:rPr>
          <w:rFonts w:ascii="Arial" w:cs="Arial" w:eastAsia="Arial" w:hAnsi="Arial"/>
          <w:sz w:val="22"/>
          <w:szCs w:val="22"/>
          <w:color w:val="auto"/>
        </w:rPr>
        <w:t>[ ],</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By:___________________________________</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[Signature Page to the Credit Agreement of TechnipFMC and FMC Technologies]</w:t>
      </w:r>
    </w:p>
    <w:p>
      <w:pPr>
        <w:sectPr>
          <w:pgSz w:w="11900" w:h="16838" w:orient="portrait"/>
          <w:cols w:equalWidth="0" w:num="1">
            <w:col w:w="10139"/>
          </w:cols>
          <w:pgMar w:left="320" w:top="1428" w:right="1440" w:bottom="1440" w:gutter="0" w:footer="0" w:header="0"/>
        </w:sectPr>
      </w:pPr>
    </w:p>
    <w:bookmarkStart w:id="249" w:name="page250"/>
    <w:bookmarkEnd w:id="2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0" w:name="page251"/>
    <w:bookmarkEnd w:id="250"/>
    <w:p>
      <w:pPr>
        <w:jc w:val="right"/>
        <w:spacing w:after="0"/>
        <w:rPr>
          <w:sz w:val="20"/>
          <w:szCs w:val="20"/>
          <w:color w:val="auto"/>
        </w:rPr>
      </w:pPr>
      <w:r>
        <w:rPr>
          <w:rFonts w:ascii="Arial" w:cs="Arial" w:eastAsia="Arial" w:hAnsi="Arial"/>
          <w:sz w:val="22"/>
          <w:szCs w:val="22"/>
          <w:color w:val="auto"/>
        </w:rPr>
        <w:t>EXHIBIT 10.2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N°1 TO RELATIONSHIP AGREEMENT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BETWEEN THE UNDERSIGNED:</w:t>
      </w:r>
    </w:p>
    <w:p>
      <w:pPr>
        <w:spacing w:after="0" w:line="220" w:lineRule="exact"/>
        <w:rPr>
          <w:sz w:val="20"/>
          <w:szCs w:val="20"/>
          <w:color w:val="auto"/>
        </w:rPr>
      </w:pPr>
    </w:p>
    <w:p>
      <w:pPr>
        <w:ind w:left="660" w:hanging="652"/>
        <w:spacing w:after="0" w:line="263" w:lineRule="auto"/>
        <w:tabs>
          <w:tab w:leader="none" w:pos="655"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Technip Energies N.V., a public limited liability company incorporated under the laws of the Netherlands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TechnipFMC plc, a public limited company formed under the laws of England and Wales (“</w:t>
      </w:r>
      <w:r>
        <w:rPr>
          <w:rFonts w:ascii="Arial" w:cs="Arial" w:eastAsia="Arial" w:hAnsi="Arial"/>
          <w:sz w:val="22"/>
          <w:szCs w:val="22"/>
          <w:u w:val="single" w:color="auto"/>
          <w:color w:val="auto"/>
        </w:rPr>
        <w:t>TFMC</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right="260" w:firstLine="8"/>
        <w:spacing w:after="0" w:line="519" w:lineRule="auto"/>
        <w:tabs>
          <w:tab w:leader="none" w:pos="643"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Bpifrance Participations SA, a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incorporated under the laws of the Republic of France (“</w:t>
      </w:r>
      <w:r>
        <w:rPr>
          <w:rFonts w:ascii="Arial" w:cs="Arial" w:eastAsia="Arial" w:hAnsi="Arial"/>
          <w:sz w:val="19"/>
          <w:szCs w:val="19"/>
          <w:u w:val="single" w:color="auto"/>
          <w:color w:val="auto"/>
        </w:rPr>
        <w:t>Shareholder</w:t>
      </w:r>
      <w:r>
        <w:rPr>
          <w:rFonts w:ascii="Arial" w:cs="Arial" w:eastAsia="Arial" w:hAnsi="Arial"/>
          <w:sz w:val="19"/>
          <w:szCs w:val="19"/>
          <w:color w:val="auto"/>
        </w:rPr>
        <w:t>”). The Company, TFMC and Shareholder are each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rPr>
          <w:rFonts w:ascii="Arial" w:cs="Arial" w:eastAsia="Arial" w:hAnsi="Arial"/>
          <w:sz w:val="19"/>
          <w:szCs w:val="19"/>
          <w:color w:val="auto"/>
        </w:rPr>
      </w:pPr>
      <w:r>
        <w:rPr>
          <w:rFonts w:ascii="Arial" w:cs="Arial" w:eastAsia="Arial" w:hAnsi="Arial"/>
          <w:sz w:val="22"/>
          <w:szCs w:val="22"/>
          <w:color w:val="auto"/>
        </w:rPr>
        <w:t>RECITALS:</w:t>
      </w:r>
    </w:p>
    <w:p>
      <w:pPr>
        <w:spacing w:after="0" w:line="220" w:lineRule="exact"/>
        <w:rPr>
          <w:sz w:val="20"/>
          <w:szCs w:val="20"/>
          <w:color w:val="auto"/>
        </w:rPr>
      </w:pPr>
    </w:p>
    <w:p>
      <w:pPr>
        <w:ind w:left="520" w:hanging="512"/>
        <w:spacing w:after="0" w:line="263" w:lineRule="auto"/>
        <w:tabs>
          <w:tab w:leader="none" w:pos="517" w:val="left"/>
        </w:tabs>
        <w:numPr>
          <w:ilvl w:val="0"/>
          <w:numId w:val="211"/>
        </w:numPr>
        <w:rPr>
          <w:rFonts w:ascii="Arial" w:cs="Arial" w:eastAsia="Arial" w:hAnsi="Arial"/>
          <w:sz w:val="22"/>
          <w:szCs w:val="22"/>
          <w:color w:val="auto"/>
        </w:rPr>
      </w:pPr>
      <w:r>
        <w:rPr>
          <w:rFonts w:ascii="Arial" w:cs="Arial" w:eastAsia="Arial" w:hAnsi="Arial"/>
          <w:sz w:val="22"/>
          <w:szCs w:val="22"/>
          <w:color w:val="auto"/>
        </w:rPr>
        <w:t>On January 7, 2021, TFMC and Shareholder entered into a share purchase agreement (the “</w:t>
      </w:r>
      <w:r>
        <w:rPr>
          <w:rFonts w:ascii="Arial" w:cs="Arial" w:eastAsia="Arial" w:hAnsi="Arial"/>
          <w:sz w:val="22"/>
          <w:szCs w:val="22"/>
          <w:u w:val="single" w:color="auto"/>
          <w:color w:val="auto"/>
        </w:rPr>
        <w:t>Share Purchase Agreement</w:t>
      </w:r>
      <w:r>
        <w:rPr>
          <w:rFonts w:ascii="Arial" w:cs="Arial" w:eastAsia="Arial" w:hAnsi="Arial"/>
          <w:sz w:val="22"/>
          <w:szCs w:val="22"/>
          <w:color w:val="auto"/>
        </w:rPr>
        <w:t>”) relating to certain shares of the Company.</w:t>
      </w:r>
    </w:p>
    <w:p>
      <w:pPr>
        <w:spacing w:after="0" w:line="174" w:lineRule="exact"/>
        <w:rPr>
          <w:rFonts w:ascii="Arial" w:cs="Arial" w:eastAsia="Arial" w:hAnsi="Arial"/>
          <w:sz w:val="22"/>
          <w:szCs w:val="22"/>
          <w:color w:val="auto"/>
        </w:rPr>
      </w:pPr>
    </w:p>
    <w:p>
      <w:pPr>
        <w:ind w:left="520" w:hanging="512"/>
        <w:spacing w:after="0" w:line="263" w:lineRule="auto"/>
        <w:tabs>
          <w:tab w:leader="none" w:pos="518" w:val="left"/>
        </w:tabs>
        <w:numPr>
          <w:ilvl w:val="0"/>
          <w:numId w:val="211"/>
        </w:numPr>
        <w:rPr>
          <w:rFonts w:ascii="Arial" w:cs="Arial" w:eastAsia="Arial" w:hAnsi="Arial"/>
          <w:sz w:val="22"/>
          <w:szCs w:val="22"/>
          <w:color w:val="auto"/>
        </w:rPr>
      </w:pPr>
      <w:r>
        <w:rPr>
          <w:rFonts w:ascii="Arial" w:cs="Arial" w:eastAsia="Arial" w:hAnsi="Arial"/>
          <w:sz w:val="22"/>
          <w:szCs w:val="22"/>
          <w:color w:val="auto"/>
        </w:rPr>
        <w:t>On January 7, 2021, the Parties entered into a relationship agreement (the “</w:t>
      </w:r>
      <w:r>
        <w:rPr>
          <w:rFonts w:ascii="Arial" w:cs="Arial" w:eastAsia="Arial" w:hAnsi="Arial"/>
          <w:sz w:val="22"/>
          <w:szCs w:val="22"/>
          <w:u w:val="single" w:color="auto"/>
          <w:color w:val="auto"/>
        </w:rPr>
        <w:t>Relationship Agreement</w:t>
      </w:r>
      <w:r>
        <w:rPr>
          <w:rFonts w:ascii="Arial" w:cs="Arial" w:eastAsia="Arial" w:hAnsi="Arial"/>
          <w:sz w:val="22"/>
          <w:szCs w:val="22"/>
          <w:color w:val="auto"/>
        </w:rPr>
        <w:t>”) relating to certain governance and other matters.</w:t>
      </w:r>
    </w:p>
    <w:p>
      <w:pPr>
        <w:spacing w:after="0" w:line="174" w:lineRule="exact"/>
        <w:rPr>
          <w:rFonts w:ascii="Arial" w:cs="Arial" w:eastAsia="Arial" w:hAnsi="Arial"/>
          <w:sz w:val="22"/>
          <w:szCs w:val="22"/>
          <w:color w:val="auto"/>
        </w:rPr>
      </w:pPr>
    </w:p>
    <w:p>
      <w:pPr>
        <w:jc w:val="both"/>
        <w:ind w:left="520" w:hanging="512"/>
        <w:spacing w:after="0" w:line="312" w:lineRule="auto"/>
        <w:tabs>
          <w:tab w:leader="none" w:pos="51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On March 31, 2021, TFMC and Shareholder entered into an amendment to the Share Purchase Agreement, pursuant to which the Purchase Price (as defined in the Share Purchase Agreement) was reduced from $200,000,000 to $100,000,000, resulting in a number of Purchased Shares (as defined in the amendment to the Share Purchase Agreement) of 7,474,829.</w:t>
      </w:r>
    </w:p>
    <w:p>
      <w:pPr>
        <w:spacing w:after="0" w:line="133" w:lineRule="exact"/>
        <w:rPr>
          <w:rFonts w:ascii="Arial" w:cs="Arial" w:eastAsia="Arial" w:hAnsi="Arial"/>
          <w:sz w:val="19"/>
          <w:szCs w:val="19"/>
          <w:color w:val="auto"/>
        </w:rPr>
      </w:pPr>
    </w:p>
    <w:p>
      <w:pPr>
        <w:jc w:val="both"/>
        <w:ind w:left="520" w:hanging="512"/>
        <w:spacing w:after="0" w:line="253" w:lineRule="auto"/>
        <w:tabs>
          <w:tab w:leader="none" w:pos="517" w:val="left"/>
        </w:tabs>
        <w:numPr>
          <w:ilvl w:val="0"/>
          <w:numId w:val="211"/>
        </w:numPr>
        <w:rPr>
          <w:rFonts w:ascii="Arial" w:cs="Arial" w:eastAsia="Arial" w:hAnsi="Arial"/>
          <w:sz w:val="22"/>
          <w:szCs w:val="22"/>
          <w:color w:val="auto"/>
        </w:rPr>
      </w:pPr>
      <w:r>
        <w:rPr>
          <w:rFonts w:ascii="Arial" w:cs="Arial" w:eastAsia="Arial" w:hAnsi="Arial"/>
          <w:sz w:val="22"/>
          <w:szCs w:val="22"/>
          <w:color w:val="auto"/>
        </w:rPr>
        <w:t>In view of the amendment to the Share Purchase Agreement, the Parties wish to amend certain provisions of the Relationship Agreement on the terms set forth herein, by entering into this amendment to the Relationship Agreement (the “</w:t>
      </w:r>
      <w:r>
        <w:rPr>
          <w:rFonts w:ascii="Arial" w:cs="Arial" w:eastAsia="Arial" w:hAnsi="Arial"/>
          <w:sz w:val="22"/>
          <w:szCs w:val="22"/>
          <w:u w:val="single" w:color="auto"/>
          <w:color w:val="auto"/>
        </w:rPr>
        <w:t>Amendment</w:t>
      </w:r>
      <w:r>
        <w:rPr>
          <w:rFonts w:ascii="Arial" w:cs="Arial" w:eastAsia="Arial" w:hAnsi="Arial"/>
          <w:sz w:val="22"/>
          <w:szCs w:val="22"/>
          <w:color w:val="auto"/>
        </w:rPr>
        <w:t>”), with all such amendments to be effective as of April 20, 2021.</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PARTIES AGREE AS FOLLOWS:</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DEFINITIONS AND PRINCIPLES OF INTERPRETATION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used but not defined herein shall have the meaning set forth in the Relationship Agreement.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Principles of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01" w:right="339" w:bottom="1440" w:gutter="0" w:footer="0" w:header="0"/>
        </w:sectPr>
      </w:pPr>
    </w:p>
    <w:bookmarkStart w:id="251" w:name="page252"/>
    <w:bookmarkEnd w:id="251"/>
    <w:p>
      <w:pPr>
        <w:ind w:firstLine="656"/>
        <w:spacing w:after="0" w:line="263" w:lineRule="auto"/>
        <w:tabs>
          <w:tab w:leader="none" w:pos="1293"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numbering of each article, section, paragraph, schedule, annex or exhibit of the Relationship Agreement shall not be affected by any of the amendments contained in the Amendment.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Any reference to the “date hereof” in the Relationship Agreement shall be read as January 7, 2021.</w:t>
      </w:r>
    </w:p>
    <w:p>
      <w:pPr>
        <w:spacing w:after="0" w:line="219" w:lineRule="exact"/>
        <w:rPr>
          <w:rFonts w:ascii="Arial" w:cs="Arial" w:eastAsia="Arial" w:hAnsi="Arial"/>
          <w:sz w:val="22"/>
          <w:szCs w:val="22"/>
          <w:color w:val="auto"/>
        </w:rPr>
      </w:pPr>
    </w:p>
    <w:p>
      <w:pPr>
        <w:ind w:firstLine="656"/>
        <w:spacing w:after="0" w:line="263" w:lineRule="auto"/>
        <w:tabs>
          <w:tab w:leader="none" w:pos="1293" w:val="left"/>
        </w:tabs>
        <w:numPr>
          <w:ilvl w:val="0"/>
          <w:numId w:val="212"/>
        </w:numPr>
        <w:rPr>
          <w:rFonts w:ascii="Arial" w:cs="Arial" w:eastAsia="Arial" w:hAnsi="Arial"/>
          <w:sz w:val="22"/>
          <w:szCs w:val="22"/>
          <w:color w:val="auto"/>
        </w:rPr>
      </w:pPr>
      <w:r>
        <w:rPr>
          <w:rFonts w:ascii="Arial" w:cs="Arial" w:eastAsia="Arial" w:hAnsi="Arial"/>
          <w:sz w:val="22"/>
          <w:szCs w:val="22"/>
          <w:color w:val="auto"/>
        </w:rPr>
        <w:t>From and after the date of this Amendment, any reference to the Relationship Agreement shall be deemed to be a reference to the Relationship Agreement as amended by this Amendment.</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AMENDMENTS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Amendments to Section 2.01 of the Relationship Agreement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Parties hereby agree to amend Section 2.01 of the Relationship Agreement (</w:t>
      </w:r>
      <w:r>
        <w:rPr>
          <w:rFonts w:ascii="Arial" w:cs="Arial" w:eastAsia="Arial" w:hAnsi="Arial"/>
          <w:sz w:val="19"/>
          <w:szCs w:val="19"/>
          <w:i w:val="1"/>
          <w:iCs w:val="1"/>
          <w:color w:val="auto"/>
        </w:rPr>
        <w:t>Composition of the Board; Nomination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Non-Executive Directors</w:t>
      </w:r>
      <w:r>
        <w:rPr>
          <w:rFonts w:ascii="Arial" w:cs="Arial" w:eastAsia="Arial" w:hAnsi="Arial"/>
          <w:sz w:val="22"/>
          <w:szCs w:val="22"/>
          <w:color w:val="auto"/>
        </w:rPr>
        <w:t>) as follows with effect as of April 20, 2021:</w:t>
      </w:r>
    </w:p>
    <w:p>
      <w:pPr>
        <w:spacing w:after="0" w:line="202" w:lineRule="exact"/>
        <w:rPr>
          <w:sz w:val="20"/>
          <w:szCs w:val="20"/>
          <w:color w:val="auto"/>
        </w:rPr>
      </w:pPr>
    </w:p>
    <w:p>
      <w:pPr>
        <w:ind w:left="1360" w:hanging="704"/>
        <w:spacing w:after="0"/>
        <w:tabs>
          <w:tab w:leader="none" w:pos="136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words in the first part of Section 2.01 "Effective as of the Distribution Date:" are hereby deleted.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Section 2.01 (a) of the Relationship Agreement is hereby deleted in its entirety and replaced with the following:</w:t>
      </w:r>
    </w:p>
    <w:p>
      <w:pPr>
        <w:spacing w:after="0" w:line="254" w:lineRule="exact"/>
        <w:rPr>
          <w:sz w:val="20"/>
          <w:szCs w:val="20"/>
          <w:color w:val="auto"/>
        </w:rPr>
      </w:pPr>
    </w:p>
    <w:p>
      <w:pPr>
        <w:ind w:left="640" w:right="40" w:firstLine="638"/>
        <w:spacing w:after="0" w:line="247" w:lineRule="auto"/>
        <w:rPr>
          <w:sz w:val="20"/>
          <w:szCs w:val="20"/>
          <w:color w:val="auto"/>
        </w:rPr>
      </w:pPr>
      <w:r>
        <w:rPr>
          <w:rFonts w:ascii="Arial" w:cs="Arial" w:eastAsia="Arial" w:hAnsi="Arial"/>
          <w:sz w:val="22"/>
          <w:szCs w:val="22"/>
          <w:color w:val="auto"/>
        </w:rPr>
        <w:t>“(a) For so long as Shareholder and its Permitted Transferees Beneficially Own the applicable percentage of Ordinary Shares set forth in this sentence, Shareholder shall have the right to propose one or two nominees to the Board for appointment as non-executive directors (the “</w:t>
      </w:r>
      <w:r>
        <w:rPr>
          <w:rFonts w:ascii="Arial" w:cs="Arial" w:eastAsia="Arial" w:hAnsi="Arial"/>
          <w:sz w:val="22"/>
          <w:szCs w:val="22"/>
          <w:u w:val="single" w:color="auto"/>
          <w:color w:val="auto"/>
        </w:rPr>
        <w:t>Investor Nominated Directors</w:t>
      </w:r>
      <w:r>
        <w:rPr>
          <w:rFonts w:ascii="Arial" w:cs="Arial" w:eastAsia="Arial" w:hAnsi="Arial"/>
          <w:sz w:val="22"/>
          <w:szCs w:val="22"/>
          <w:color w:val="auto"/>
        </w:rPr>
        <w:t>”) as follows: (i) two Investor Nominated Directors, so long as Shareholder Beneficially Owns at least 18% of the Ordinary Shares; and (ii) one Investor Nominated Director, so long as Shareholder Beneficially Owns at least 5% of the Ordinary Shares but less than 18% of the Ordinary Shares.”</w:t>
      </w:r>
    </w:p>
    <w:p>
      <w:pPr>
        <w:spacing w:after="0" w:line="220" w:lineRule="exact"/>
        <w:rPr>
          <w:sz w:val="20"/>
          <w:szCs w:val="20"/>
          <w:color w:val="auto"/>
        </w:rPr>
      </w:pPr>
    </w:p>
    <w:p>
      <w:pPr>
        <w:ind w:left="660" w:right="40" w:hanging="4"/>
        <w:spacing w:after="0" w:line="519" w:lineRule="auto"/>
        <w:tabs>
          <w:tab w:leader="none" w:pos="1305" w:val="left"/>
        </w:tabs>
        <w:numPr>
          <w:ilvl w:val="0"/>
          <w:numId w:val="214"/>
        </w:numPr>
        <w:rPr>
          <w:rFonts w:ascii="Arial" w:cs="Arial" w:eastAsia="Arial" w:hAnsi="Arial"/>
          <w:sz w:val="19"/>
          <w:szCs w:val="19"/>
          <w:color w:val="auto"/>
        </w:rPr>
      </w:pPr>
      <w:r>
        <w:rPr>
          <w:rFonts w:ascii="Arial" w:cs="Arial" w:eastAsia="Arial" w:hAnsi="Arial"/>
          <w:sz w:val="19"/>
          <w:szCs w:val="19"/>
          <w:color w:val="auto"/>
        </w:rPr>
        <w:t>Section 2.01(f)(iv) of the Relationship Agreement is hereby deleted in its entirety and replaced with the following: “(iv) the applicable number of Investor Nominated Director(s) pursuant to Section 2.01(a) above to be appointed.”</w:t>
      </w:r>
    </w:p>
    <w:p>
      <w:pPr>
        <w:ind w:left="660"/>
        <w:spacing w:after="0"/>
        <w:rPr>
          <w:rFonts w:ascii="Arial" w:cs="Arial" w:eastAsia="Arial" w:hAnsi="Arial"/>
          <w:sz w:val="19"/>
          <w:szCs w:val="19"/>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Amendment to Section 7.01 of the Relationship Agreement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Parties hereby agree to amend Section 7.01 of the Relationship Agreement as follows with effect as of April 20, 2021:</w:t>
      </w:r>
    </w:p>
    <w:p>
      <w:pPr>
        <w:spacing w:after="0" w:line="146"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The references to Schedule 7.01(ii) included in Section 7.01 of the Relationship Agreement are hereby deleted, and Schedule 7.01(ii) to the Relationship Agreement is hereby deleted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52" w:name="page253"/>
    <w:bookmarkEnd w:id="252"/>
    <w:p>
      <w:pPr>
        <w:ind w:left="4980"/>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No other amendment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Parties acknowledge and agree that all the provisions of the Relationship Agreement not expressly amended pursuant to this Amendment shall continue to be valid and binding on the Parties, in full force and effect, and shall not be deemed to have been amended, waived, deleted or affected in any manner whatsoever by this Amendment.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Incorporation by reference</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provisions of Section 8 of the Relationship Agreement (</w:t>
      </w:r>
      <w:r>
        <w:rPr>
          <w:rFonts w:ascii="Arial" w:cs="Arial" w:eastAsia="Arial" w:hAnsi="Arial"/>
          <w:sz w:val="22"/>
          <w:szCs w:val="22"/>
          <w:i w:val="1"/>
          <w:iCs w:val="1"/>
          <w:color w:val="auto"/>
        </w:rPr>
        <w:t>Miscellaneous</w:t>
      </w:r>
      <w:r>
        <w:rPr>
          <w:rFonts w:ascii="Arial" w:cs="Arial" w:eastAsia="Arial" w:hAnsi="Arial"/>
          <w:sz w:val="22"/>
          <w:szCs w:val="22"/>
          <w:color w:val="auto"/>
        </w:rPr>
        <w:t xml:space="preserve">) are incorporated herein by reference and shall apply to the terms and provisions of this Amendment and the Parties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53" w:name="page254"/>
    <w:bookmarkEnd w:id="253"/>
    <w:p>
      <w:pPr>
        <w:spacing w:after="0"/>
        <w:rPr>
          <w:sz w:val="20"/>
          <w:szCs w:val="20"/>
          <w:color w:val="auto"/>
        </w:rPr>
      </w:pPr>
      <w:r>
        <w:rPr>
          <w:rFonts w:ascii="Arial" w:cs="Arial" w:eastAsia="Arial" w:hAnsi="Arial"/>
          <w:sz w:val="19"/>
          <w:szCs w:val="19"/>
          <w:color w:val="auto"/>
        </w:rPr>
        <w:t>In witness whereof, each of the Parties has executed this Agreement as of 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TECHNIP ENERGIES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By: /s/ Arnaud Pieton</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Name: Arnaud Pieton</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to the Relationship Agreement</w:t>
      </w:r>
      <w:r>
        <w:rPr>
          <w:rFonts w:ascii="Arial" w:cs="Arial" w:eastAsia="Arial" w:hAnsi="Arial"/>
          <w:sz w:val="22"/>
          <w:szCs w:val="22"/>
          <w:color w:val="auto"/>
        </w:rPr>
        <w:t>]</w:t>
      </w:r>
    </w:p>
    <w:p>
      <w:pPr>
        <w:sectPr>
          <w:pgSz w:w="11900" w:h="16838" w:orient="portrait"/>
          <w:cols w:equalWidth="0" w:num="1">
            <w:col w:w="9499"/>
          </w:cols>
          <w:pgMar w:left="960" w:top="1401" w:right="1440" w:bottom="1440" w:gutter="0" w:footer="0" w:header="0"/>
        </w:sectPr>
      </w:pPr>
    </w:p>
    <w:bookmarkStart w:id="254" w:name="page255"/>
    <w:bookmarkEnd w:id="254"/>
    <w:p>
      <w:pPr>
        <w:spacing w:after="0"/>
        <w:rPr>
          <w:sz w:val="20"/>
          <w:szCs w:val="20"/>
          <w:color w:val="auto"/>
        </w:rPr>
      </w:pPr>
      <w:r>
        <w:rPr>
          <w:rFonts w:ascii="Arial" w:cs="Arial" w:eastAsia="Arial" w:hAnsi="Arial"/>
          <w:sz w:val="19"/>
          <w:szCs w:val="19"/>
          <w:color w:val="auto"/>
        </w:rPr>
        <w:t>In witness whereof, each of the Parties has executed this Agreement as of May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By: /s/ Alf Melin</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Name: Alf Melin</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Title: Executive Vice President and Chief Financial</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to the Relationship Agreement</w:t>
      </w:r>
      <w:r>
        <w:rPr>
          <w:rFonts w:ascii="Arial" w:cs="Arial" w:eastAsia="Arial" w:hAnsi="Arial"/>
          <w:sz w:val="22"/>
          <w:szCs w:val="22"/>
          <w:color w:val="auto"/>
        </w:rPr>
        <w:t>]</w:t>
      </w:r>
    </w:p>
    <w:p>
      <w:pPr>
        <w:sectPr>
          <w:pgSz w:w="11900" w:h="16838" w:orient="portrait"/>
          <w:cols w:equalWidth="0" w:num="1">
            <w:col w:w="9499"/>
          </w:cols>
          <w:pgMar w:left="960" w:top="1401" w:right="1440" w:bottom="1440" w:gutter="0" w:footer="0" w:header="0"/>
        </w:sectPr>
      </w:pPr>
    </w:p>
    <w:bookmarkStart w:id="255" w:name="page256"/>
    <w:bookmarkEnd w:id="255"/>
    <w:p>
      <w:pPr>
        <w:spacing w:after="0"/>
        <w:rPr>
          <w:sz w:val="20"/>
          <w:szCs w:val="20"/>
          <w:color w:val="auto"/>
        </w:rPr>
      </w:pPr>
      <w:r>
        <w:rPr>
          <w:rFonts w:ascii="Arial" w:cs="Arial" w:eastAsia="Arial" w:hAnsi="Arial"/>
          <w:sz w:val="19"/>
          <w:szCs w:val="19"/>
          <w:color w:val="auto"/>
        </w:rPr>
        <w:t>In witness whereof, each of the Parties has executed this Agreement as of 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BPIFRANCE PARTICIPATIONS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By: /s/ Arnaud Caudoux</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Name: Arnaud Caudoux</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Title: Deputy CEO (Directeur Général Adjoint)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17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to the Relationship Agreement</w:t>
      </w:r>
      <w:r>
        <w:rPr>
          <w:rFonts w:ascii="Arial" w:cs="Arial" w:eastAsia="Arial" w:hAnsi="Arial"/>
          <w:sz w:val="22"/>
          <w:szCs w:val="22"/>
          <w:color w:val="auto"/>
        </w:rPr>
        <w:t>]</w:t>
      </w:r>
    </w:p>
    <w:p>
      <w:pPr>
        <w:sectPr>
          <w:pgSz w:w="11900" w:h="16838" w:orient="portrait"/>
          <w:cols w:equalWidth="0" w:num="1">
            <w:col w:w="9499"/>
          </w:cols>
          <w:pgMar w:left="960" w:top="1401" w:right="1440" w:bottom="1440" w:gutter="0" w:footer="0" w:header="0"/>
        </w:sectPr>
      </w:pPr>
    </w:p>
    <w:bookmarkStart w:id="256" w:name="page257"/>
    <w:bookmarkEnd w:id="25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94" w:lineRule="exact"/>
        <w:rPr>
          <w:sz w:val="20"/>
          <w:szCs w:val="20"/>
          <w:color w:val="auto"/>
        </w:rPr>
      </w:pPr>
    </w:p>
    <w:p>
      <w:pPr>
        <w:ind w:left="660" w:hanging="328"/>
        <w:spacing w:after="0"/>
        <w:tabs>
          <w:tab w:leader="none" w:pos="6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2021 of TechnipFMC plc (the “registrant”);</w:t>
      </w:r>
    </w:p>
    <w:p>
      <w:pPr>
        <w:spacing w:after="0" w:line="194" w:lineRule="exact"/>
        <w:rPr>
          <w:rFonts w:ascii="Arial" w:cs="Arial" w:eastAsia="Arial" w:hAnsi="Arial"/>
          <w:sz w:val="16"/>
          <w:szCs w:val="16"/>
          <w:color w:val="auto"/>
        </w:rPr>
      </w:pPr>
    </w:p>
    <w:p>
      <w:pPr>
        <w:jc w:val="both"/>
        <w:ind w:left="660" w:right="120" w:hanging="328"/>
        <w:spacing w:after="0" w:line="288" w:lineRule="auto"/>
        <w:tabs>
          <w:tab w:leader="none" w:pos="6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95" w:lineRule="auto"/>
        <w:tabs>
          <w:tab w:leader="none" w:pos="6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88" w:lineRule="auto"/>
        <w:tabs>
          <w:tab w:leader="none" w:pos="6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88" w:lineRule="auto"/>
        <w:tabs>
          <w:tab w:leader="none" w:pos="135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right="160" w:hanging="320"/>
        <w:spacing w:after="0" w:line="288" w:lineRule="auto"/>
        <w:tabs>
          <w:tab w:leader="none" w:pos="135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95" w:lineRule="auto"/>
        <w:tabs>
          <w:tab w:leader="none" w:pos="1345" w:val="left"/>
        </w:tabs>
        <w:numPr>
          <w:ilvl w:val="1"/>
          <w:numId w:val="2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88" w:lineRule="auto"/>
        <w:tabs>
          <w:tab w:leader="none" w:pos="135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95" w:lineRule="auto"/>
        <w:tabs>
          <w:tab w:leader="none" w:pos="6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00" w:hanging="320"/>
        <w:spacing w:after="0" w:line="295" w:lineRule="auto"/>
        <w:tabs>
          <w:tab w:leader="none" w:pos="1345"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40" w:hanging="320"/>
        <w:spacing w:after="0" w:line="295" w:lineRule="auto"/>
        <w:tabs>
          <w:tab w:leader="none" w:pos="1345"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Date: July 29, 2021</w:t>
      </w:r>
    </w:p>
    <w:p>
      <w:pPr>
        <w:spacing w:after="0" w:line="7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26828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5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Douglas J. Pferdehirt</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Executive Chairman and Chief Executive Officer</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04"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I, Alf Melin, certify that:</w:t>
      </w:r>
    </w:p>
    <w:p>
      <w:pPr>
        <w:spacing w:after="0" w:line="194" w:lineRule="exact"/>
        <w:rPr>
          <w:sz w:val="20"/>
          <w:szCs w:val="20"/>
          <w:color w:val="auto"/>
        </w:rPr>
      </w:pPr>
    </w:p>
    <w:p>
      <w:pPr>
        <w:ind w:left="660" w:hanging="328"/>
        <w:spacing w:after="0"/>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2021 of TechnipFMC plc (the “registrant”);</w:t>
      </w:r>
    </w:p>
    <w:p>
      <w:pPr>
        <w:spacing w:after="0" w:line="194" w:lineRule="exact"/>
        <w:rPr>
          <w:rFonts w:ascii="Arial" w:cs="Arial" w:eastAsia="Arial" w:hAnsi="Arial"/>
          <w:sz w:val="16"/>
          <w:szCs w:val="16"/>
          <w:color w:val="auto"/>
        </w:rPr>
      </w:pPr>
    </w:p>
    <w:p>
      <w:pPr>
        <w:jc w:val="both"/>
        <w:ind w:left="660" w:right="120" w:hanging="328"/>
        <w:spacing w:after="0" w:line="288" w:lineRule="auto"/>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95" w:lineRule="auto"/>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88" w:lineRule="auto"/>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88" w:lineRule="auto"/>
        <w:tabs>
          <w:tab w:leader="none" w:pos="1354" w:val="left"/>
        </w:tabs>
        <w:numPr>
          <w:ilvl w:val="1"/>
          <w:numId w:val="2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right="160" w:hanging="320"/>
        <w:spacing w:after="0" w:line="288" w:lineRule="auto"/>
        <w:tabs>
          <w:tab w:leader="none" w:pos="1354" w:val="left"/>
        </w:tabs>
        <w:numPr>
          <w:ilvl w:val="1"/>
          <w:numId w:val="2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95" w:lineRule="auto"/>
        <w:tabs>
          <w:tab w:leader="none" w:pos="1345"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88" w:lineRule="auto"/>
        <w:tabs>
          <w:tab w:leader="none" w:pos="1354" w:val="left"/>
        </w:tabs>
        <w:numPr>
          <w:ilvl w:val="1"/>
          <w:numId w:val="2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95" w:lineRule="auto"/>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00" w:hanging="320"/>
        <w:spacing w:after="0" w:line="295" w:lineRule="auto"/>
        <w:tabs>
          <w:tab w:leader="none" w:pos="1345"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40" w:hanging="320"/>
        <w:spacing w:after="0" w:line="295" w:lineRule="auto"/>
        <w:tabs>
          <w:tab w:leader="none" w:pos="1345"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04" w:right="339" w:bottom="1440" w:gutter="0" w:footer="0" w:header="0"/>
        </w:sectPr>
      </w:pPr>
    </w:p>
    <w:bookmarkStart w:id="258" w:name="page259"/>
    <w:bookmarkEnd w:id="258"/>
    <w:p>
      <w:pPr>
        <w:spacing w:after="0"/>
        <w:rPr>
          <w:sz w:val="20"/>
          <w:szCs w:val="20"/>
          <w:color w:val="auto"/>
        </w:rPr>
      </w:pPr>
      <w:r>
        <w:rPr>
          <w:rFonts w:ascii="Arial" w:cs="Arial" w:eastAsia="Arial" w:hAnsi="Arial"/>
          <w:sz w:val="16"/>
          <w:szCs w:val="16"/>
          <w:color w:val="auto"/>
        </w:rPr>
        <w:t>Date: July 29, 2021</w:t>
      </w:r>
    </w:p>
    <w:p>
      <w:pPr>
        <w:spacing w:after="0" w:line="7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26828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3"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Alf Melin</w:t>
      </w:r>
    </w:p>
    <w:p>
      <w:pPr>
        <w:spacing w:after="0" w:line="59" w:lineRule="exact"/>
        <w:rPr>
          <w:sz w:val="20"/>
          <w:szCs w:val="20"/>
          <w:color w:val="auto"/>
        </w:rPr>
      </w:pPr>
    </w:p>
    <w:p>
      <w:pPr>
        <w:jc w:val="center"/>
        <w:ind w:left="4600"/>
        <w:spacing w:after="0"/>
        <w:rPr>
          <w:sz w:val="20"/>
          <w:szCs w:val="20"/>
          <w:color w:val="auto"/>
        </w:rPr>
      </w:pPr>
      <w:r>
        <w:rPr>
          <w:rFonts w:ascii="Arial" w:cs="Arial" w:eastAsia="Arial" w:hAnsi="Arial"/>
          <w:sz w:val="16"/>
          <w:szCs w:val="16"/>
          <w:color w:val="auto"/>
        </w:rPr>
        <w:t>Executive Vice President and Chief Financial Officer</w:t>
      </w:r>
    </w:p>
    <w:p>
      <w:pPr>
        <w:spacing w:after="0" w:line="59" w:lineRule="exact"/>
        <w:rPr>
          <w:sz w:val="20"/>
          <w:szCs w:val="20"/>
          <w:color w:val="auto"/>
        </w:rPr>
      </w:pPr>
    </w:p>
    <w:p>
      <w:pPr>
        <w:jc w:val="center"/>
        <w:ind w:left="460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0139"/>
          </w:cols>
          <w:pgMar w:left="320" w:top="1167" w:right="1440" w:bottom="1440" w:gutter="0" w:footer="0" w:header="0"/>
        </w:sectPr>
      </w:pPr>
    </w:p>
    <w:bookmarkStart w:id="259" w:name="page260"/>
    <w:bookmarkEnd w:id="259"/>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Executive Chairman and Chief Executive Officer of TechnipFMC plc (the “Company”), do hereby certify,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275" w:lineRule="exact"/>
        <w:rPr>
          <w:sz w:val="20"/>
          <w:szCs w:val="20"/>
          <w:color w:val="auto"/>
        </w:rPr>
      </w:pPr>
    </w:p>
    <w:p>
      <w:pPr>
        <w:ind w:right="360" w:firstLine="8"/>
        <w:spacing w:after="0" w:line="295" w:lineRule="auto"/>
        <w:tabs>
          <w:tab w:leader="none" w:pos="24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2021,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Date: July 29, 2021</w:t>
      </w:r>
    </w:p>
    <w:p>
      <w:pPr>
        <w:spacing w:after="0" w:line="3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26828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Douglas J. Pferdehirt</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Executive Chairman and Chief Executive Officer</w:t>
      </w:r>
    </w:p>
    <w:p>
      <w:pPr>
        <w:spacing w:after="0" w:line="59" w:lineRule="exact"/>
        <w:rPr>
          <w:sz w:val="20"/>
          <w:szCs w:val="20"/>
          <w:color w:val="auto"/>
        </w:rPr>
      </w:pPr>
    </w:p>
    <w:p>
      <w:pPr>
        <w:jc w:val="center"/>
        <w:ind w:left="46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04"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9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 Alf Melin, Executive Vice President and Chief Financial Officer of TechnipFMC plc (the “Company”), do hereby certify, pursuant to 18 U.S.C. Section 1350, as adopted pursuant to Section 906 of the Sarbanes-Oxley Act of 2002, that, to my knowledge:</w:t>
      </w:r>
    </w:p>
    <w:p>
      <w:pPr>
        <w:spacing w:after="0" w:line="223" w:lineRule="exact"/>
        <w:rPr>
          <w:sz w:val="20"/>
          <w:szCs w:val="20"/>
          <w:color w:val="auto"/>
        </w:rPr>
      </w:pPr>
    </w:p>
    <w:p>
      <w:pPr>
        <w:ind w:right="360" w:firstLine="8"/>
        <w:spacing w:after="0" w:line="295" w:lineRule="auto"/>
        <w:tabs>
          <w:tab w:leader="none" w:pos="24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2021,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Date: July 29, 2021</w:t>
      </w:r>
    </w:p>
    <w:p>
      <w:pPr>
        <w:spacing w:after="0" w:line="316"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19050</wp:posOffset>
            </wp:positionV>
            <wp:extent cx="29743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07"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Alf Melin</w:t>
      </w:r>
    </w:p>
    <w:p>
      <w:pPr>
        <w:spacing w:after="0" w:line="154"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Executive Vice President and Chief Financial Officer</w:t>
      </w:r>
    </w:p>
    <w:p>
      <w:pPr>
        <w:spacing w:after="0" w:line="154" w:lineRule="exact"/>
        <w:rPr>
          <w:sz w:val="20"/>
          <w:szCs w:val="20"/>
          <w:color w:val="auto"/>
        </w:rPr>
      </w:pPr>
    </w:p>
    <w:p>
      <w:pPr>
        <w:jc w:val="center"/>
        <w:ind w:left="416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7E1B4E"/>
    <w:multiLevelType w:val="hybridMultilevel"/>
    <w:lvl w:ilvl="0">
      <w:lvlJc w:val="left"/>
      <w:lvlText w:val="☒"/>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1)"/>
      <w:numFmt w:val="lowerLetter"/>
      <w:start w:val="1"/>
    </w:lvl>
  </w:abstractNum>
  <w:abstractNum w:abstractNumId="3">
    <w:nsid w:val="53584BCB"/>
    <w:multiLevelType w:val="hybridMultilevel"/>
    <w:lvl w:ilvl="0">
      <w:lvlJc w:val="left"/>
      <w:lvlText w:val="•"/>
      <w:numFmt w:val="bullet"/>
      <w:start w:val="1"/>
    </w:lvl>
  </w:abstractNum>
  <w:abstractNum w:abstractNumId="4">
    <w:nsid w:val="415E286C"/>
    <w:multiLevelType w:val="hybridMultilevel"/>
    <w:lvl w:ilvl="0">
      <w:lvlJc w:val="left"/>
      <w:lvlText w:val="(%1)"/>
      <w:numFmt w:val="lowerLetter"/>
      <w:start w:val="1"/>
    </w:lvl>
  </w:abstractNum>
  <w:abstractNum w:abstractNumId="5">
    <w:nsid w:val="7C58FD05"/>
    <w:multiLevelType w:val="hybridMultilevel"/>
    <w:lvl w:ilvl="0">
      <w:lvlJc w:val="left"/>
      <w:lvlText w:val="•"/>
      <w:numFmt w:val="bullet"/>
      <w:start w:val="1"/>
    </w:lvl>
  </w:abstractNum>
  <w:abstractNum w:abstractNumId="6">
    <w:nsid w:val="23D86AAC"/>
    <w:multiLevelType w:val="hybridMultilevel"/>
    <w:lvl w:ilvl="0">
      <w:lvlJc w:val="left"/>
      <w:lvlText w:val="•"/>
      <w:numFmt w:val="bullet"/>
      <w:start w:val="1"/>
    </w:lvl>
  </w:abstractNum>
  <w:abstractNum w:abstractNumId="7">
    <w:nsid w:val="45E6D486"/>
    <w:multiLevelType w:val="hybridMultilevel"/>
    <w:lvl w:ilvl="0">
      <w:lvlJc w:val="left"/>
      <w:lvlText w:val="•"/>
      <w:numFmt w:val="bullet"/>
      <w:start w:val="1"/>
    </w:lvl>
  </w:abstractNum>
  <w:abstractNum w:abstractNumId="8">
    <w:nsid w:val="5C10FE21"/>
    <w:multiLevelType w:val="hybridMultilevel"/>
    <w:lvl w:ilvl="0">
      <w:lvlJc w:val="left"/>
      <w:lvlText w:val="(%1)"/>
      <w:numFmt w:val="lowerLetter"/>
      <w:start w:val="1"/>
    </w:lvl>
  </w:abstractNum>
  <w:abstractNum w:abstractNumId="9">
    <w:nsid w:val="E7FFA2B"/>
    <w:multiLevelType w:val="hybridMultilevel"/>
    <w:lvl w:ilvl="0">
      <w:lvlJc w:val="left"/>
      <w:lvlText w:val="(%1)"/>
      <w:numFmt w:val="lowerLetter"/>
      <w:start w:val="1"/>
    </w:lvl>
  </w:abstractNum>
  <w:abstractNum w:abstractNumId="10">
    <w:nsid w:val="3C5991AA"/>
    <w:multiLevelType w:val="hybridMultilevel"/>
    <w:lvl w:ilvl="0">
      <w:lvlJc w:val="left"/>
      <w:lvlText w:val="•"/>
      <w:numFmt w:val="bullet"/>
      <w:start w:val="1"/>
    </w:lvl>
  </w:abstractNum>
  <w:abstractNum w:abstractNumId="11">
    <w:nsid w:val="4BD8591A"/>
    <w:multiLevelType w:val="hybridMultilevel"/>
    <w:lvl w:ilvl="0">
      <w:lvlJc w:val="left"/>
      <w:lvlText w:val="\endash "/>
      <w:numFmt w:val="bullet"/>
      <w:start w:val="1"/>
    </w:lvl>
  </w:abstractNum>
  <w:abstractNum w:abstractNumId="12">
    <w:nsid w:val="78DF6A55"/>
    <w:multiLevelType w:val="hybridMultilevel"/>
    <w:lvl w:ilvl="0">
      <w:lvlJc w:val="left"/>
      <w:lvlText w:val="•"/>
      <w:numFmt w:val="bullet"/>
      <w:start w:val="1"/>
    </w:lvl>
  </w:abstractNum>
  <w:abstractNum w:abstractNumId="13">
    <w:nsid w:val="39B7AAA2"/>
    <w:multiLevelType w:val="hybridMultilevel"/>
    <w:lvl w:ilvl="0">
      <w:lvlJc w:val="left"/>
      <w:lvlText w:val="•"/>
      <w:numFmt w:val="bullet"/>
      <w:start w:val="1"/>
    </w:lvl>
  </w:abstractNum>
  <w:abstractNum w:abstractNumId="14">
    <w:nsid w:val="2B0D8DBE"/>
    <w:multiLevelType w:val="hybridMultilevel"/>
    <w:lvl w:ilvl="0">
      <w:lvlJc w:val="left"/>
      <w:lvlText w:val="*"/>
      <w:numFmt w:val="bullet"/>
      <w:start w:val="1"/>
    </w:lvl>
    <w:lvl w:ilvl="1">
      <w:lvlJc w:val="left"/>
      <w:lvlText w:val="%2"/>
      <w:numFmt w:val="decimal"/>
      <w:start w:val="104"/>
    </w:lvl>
  </w:abstractNum>
  <w:abstractNum w:abstractNumId="15">
    <w:nsid w:val="6C80EC70"/>
    <w:multiLevelType w:val="hybridMultilevel"/>
    <w:lvl w:ilvl="0">
      <w:lvlJc w:val="left"/>
      <w:lvlText w:val="(%1)"/>
      <w:numFmt w:val="lowerLetter"/>
      <w:start w:val="1"/>
    </w:lvl>
  </w:abstractNum>
  <w:abstractNum w:abstractNumId="16">
    <w:nsid w:val="379E21B5"/>
    <w:multiLevelType w:val="hybridMultilevel"/>
    <w:lvl w:ilvl="0">
      <w:lvlJc w:val="left"/>
      <w:lvlText w:val="(%1)"/>
      <w:numFmt w:val="lowerLetter"/>
      <w:start w:val="3"/>
    </w:lvl>
  </w:abstractNum>
  <w:abstractNum w:abstractNumId="17">
    <w:nsid w:val="69E373"/>
    <w:multiLevelType w:val="hybridMultilevel"/>
    <w:lvl w:ilvl="0">
      <w:lvlJc w:val="left"/>
      <w:lvlText w:val="(%1)"/>
      <w:numFmt w:val="lowerLetter"/>
      <w:start w:val="2"/>
    </w:lvl>
  </w:abstractNum>
  <w:abstractNum w:abstractNumId="18">
    <w:nsid w:val="2C27173B"/>
    <w:multiLevelType w:val="hybridMultilevel"/>
    <w:lvl w:ilvl="0">
      <w:lvlJc w:val="left"/>
      <w:lvlText w:val="(%1)"/>
      <w:numFmt w:val="upperLetter"/>
      <w:start w:val="1"/>
    </w:lvl>
  </w:abstractNum>
  <w:abstractNum w:abstractNumId="19">
    <w:nsid w:val="4C9B090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0">
    <w:nsid w:val="6AA7B75C"/>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1">
    <w:nsid w:val="1DF029D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2">
    <w:nsid w:val="5675FF36"/>
    <w:multiLevelType w:val="hybridMultilevel"/>
    <w:lvl w:ilvl="0">
      <w:lvlJc w:val="left"/>
      <w:lvlText w:val="(%1)"/>
      <w:numFmt w:val="decimal"/>
      <w:start w:val="1"/>
    </w:lvl>
  </w:abstractNum>
  <w:abstractNum w:abstractNumId="23">
    <w:nsid w:val="3DD15094"/>
    <w:multiLevelType w:val="hybridMultilevel"/>
    <w:lvl w:ilvl="0">
      <w:lvlJc w:val="left"/>
      <w:lvlText w:val="(%1)"/>
      <w:numFmt w:val="lowerLetter"/>
      <w:start w:val="1"/>
    </w:lvl>
  </w:abstractNum>
  <w:abstractNum w:abstractNumId="24">
    <w:nsid w:val="3DB012B3"/>
    <w:multiLevelType w:val="hybridMultilevel"/>
    <w:lvl w:ilvl="0">
      <w:lvlJc w:val="left"/>
      <w:lvlText w:val="(%1)"/>
      <w:numFmt w:val="decimal"/>
      <w:start w:val="2"/>
    </w:lvl>
  </w:abstractNum>
  <w:abstractNum w:abstractNumId="25">
    <w:nsid w:val="2708C9AF"/>
    <w:multiLevelType w:val="hybridMultilevel"/>
    <w:lvl w:ilvl="0">
      <w:lvlJc w:val="left"/>
      <w:lvlText w:val="%1"/>
      <w:numFmt w:val="decimal"/>
      <w:start w:val="1"/>
    </w:lvl>
    <w:lvl w:ilvl="1">
      <w:lvlJc w:val="left"/>
      <w:lvlText w:val="(%2)"/>
      <w:numFmt w:val="decimal"/>
      <w:start w:val="1"/>
    </w:lvl>
  </w:abstractNum>
  <w:abstractNum w:abstractNumId="26">
    <w:nsid w:val="5B25ACE2"/>
    <w:multiLevelType w:val="hybridMultilevel"/>
    <w:lvl w:ilvl="0">
      <w:lvlJc w:val="left"/>
      <w:lvlText w:val="(%1)"/>
      <w:numFmt w:val="decimal"/>
      <w:start w:val="30"/>
    </w:lvl>
    <w:lvl w:ilvl="1">
      <w:lvlJc w:val="left"/>
      <w:lvlText w:val="(%2)"/>
      <w:numFmt w:val="decimal"/>
      <w:start w:val="4"/>
    </w:lvl>
  </w:abstractNum>
  <w:abstractNum w:abstractNumId="27">
    <w:nsid w:val="175DFCF0"/>
    <w:multiLevelType w:val="hybridMultilevel"/>
    <w:lvl w:ilvl="0">
      <w:lvlJc w:val="left"/>
      <w:lvlText w:val="(%1)"/>
      <w:numFmt w:val="decimal"/>
      <w:start w:val="1"/>
    </w:lvl>
  </w:abstractNum>
  <w:abstractNum w:abstractNumId="28">
    <w:nsid w:val="4F97E3E4"/>
    <w:multiLevelType w:val="hybridMultilevel"/>
    <w:lvl w:ilvl="0">
      <w:lvlJc w:val="left"/>
      <w:lvlText w:val="(%1)"/>
      <w:numFmt w:val="decimal"/>
      <w:start w:val="2"/>
    </w:lvl>
  </w:abstractNum>
  <w:abstractNum w:abstractNumId="29">
    <w:nsid w:val="53B0A9E"/>
    <w:multiLevelType w:val="hybridMultilevel"/>
    <w:lvl w:ilvl="0">
      <w:lvlJc w:val="left"/>
      <w:lvlText w:val="(%1)"/>
      <w:numFmt w:val="lowerLetter"/>
      <w:start w:val="1"/>
    </w:lvl>
  </w:abstractNum>
  <w:abstractNum w:abstractNumId="30">
    <w:nsid w:val="34FD6B4F"/>
    <w:multiLevelType w:val="hybridMultilevel"/>
    <w:lvl w:ilvl="0">
      <w:lvlJc w:val="left"/>
      <w:lvlText w:val="(%1)"/>
      <w:numFmt w:val="lowerRoman"/>
      <w:start w:val="1"/>
    </w:lvl>
  </w:abstractNum>
  <w:abstractNum w:abstractNumId="31">
    <w:nsid w:val="5915FF32"/>
    <w:multiLevelType w:val="hybridMultilevel"/>
    <w:lvl w:ilvl="0">
      <w:lvlJc w:val="left"/>
      <w:lvlText w:val="(%1)"/>
      <w:numFmt w:val="lowerRoman"/>
      <w:start w:val="3"/>
    </w:lvl>
  </w:abstractNum>
  <w:abstractNum w:abstractNumId="32">
    <w:nsid w:val="56438D15"/>
    <w:multiLevelType w:val="hybridMultilevel"/>
    <w:lvl w:ilvl="0">
      <w:lvlJc w:val="left"/>
      <w:lvlText w:val="(%1)"/>
      <w:numFmt w:val="lowerRoman"/>
      <w:start w:val="10"/>
    </w:lvl>
  </w:abstractNum>
  <w:abstractNum w:abstractNumId="33">
    <w:nsid w:val="519E3149"/>
    <w:multiLevelType w:val="hybridMultilevel"/>
    <w:lvl w:ilvl="0">
      <w:lvlJc w:val="left"/>
      <w:lvlText w:val="(%1)"/>
      <w:numFmt w:val="lowerLetter"/>
      <w:start w:val="1"/>
    </w:lvl>
  </w:abstractNum>
  <w:abstractNum w:abstractNumId="34">
    <w:nsid w:val="2C6E4AFD"/>
    <w:multiLevelType w:val="hybridMultilevel"/>
    <w:lvl w:ilvl="0">
      <w:lvlJc w:val="left"/>
      <w:lvlText w:val="(%1)"/>
      <w:numFmt w:val="lowerLetter"/>
      <w:start w:val="3"/>
    </w:lvl>
  </w:abstractNum>
  <w:abstractNum w:abstractNumId="35">
    <w:nsid w:val="17A1B582"/>
    <w:multiLevelType w:val="hybridMultilevel"/>
    <w:lvl w:ilvl="0">
      <w:lvlJc w:val="left"/>
      <w:lvlText w:val="(%1)"/>
      <w:numFmt w:val="lowerLetter"/>
      <w:start w:val="6"/>
    </w:lvl>
  </w:abstractNum>
  <w:abstractNum w:abstractNumId="36">
    <w:nsid w:val="4DF72E4E"/>
    <w:multiLevelType w:val="hybridMultilevel"/>
    <w:lvl w:ilvl="0">
      <w:lvlJc w:val="left"/>
      <w:lvlText w:val="(%1)"/>
      <w:numFmt w:val="lowerLetter"/>
      <w:start w:val="8"/>
    </w:lvl>
  </w:abstractNum>
  <w:abstractNum w:abstractNumId="37">
    <w:nsid w:val="5046B5A9"/>
    <w:multiLevelType w:val="hybridMultilevel"/>
    <w:lvl w:ilvl="0">
      <w:lvlJc w:val="left"/>
      <w:lvlText w:val="(%1)"/>
      <w:numFmt w:val="upperLetter"/>
      <w:start w:val="5"/>
    </w:lvl>
  </w:abstractNum>
  <w:abstractNum w:abstractNumId="38">
    <w:nsid w:val="5D888A08"/>
    <w:multiLevelType w:val="hybridMultilevel"/>
    <w:lvl w:ilvl="0">
      <w:lvlJc w:val="left"/>
      <w:lvlText w:val="(%1)"/>
      <w:numFmt w:val="lowerLetter"/>
      <w:start w:val="1"/>
    </w:lvl>
  </w:abstractNum>
  <w:abstractNum w:abstractNumId="39">
    <w:nsid w:val="2A082C70"/>
    <w:multiLevelType w:val="hybridMultilevel"/>
    <w:lvl w:ilvl="0">
      <w:lvlJc w:val="left"/>
      <w:lvlText w:val="(%1)"/>
      <w:numFmt w:val="lowerLetter"/>
      <w:start w:val="3"/>
    </w:lvl>
    <w:lvl w:ilvl="1">
      <w:lvlJc w:val="left"/>
      <w:lvlText w:val="(%2)"/>
      <w:numFmt w:val="lowerRoman"/>
      <w:start w:val="1"/>
    </w:lvl>
  </w:abstractNum>
  <w:abstractNum w:abstractNumId="40">
    <w:nsid w:val="5EC6AFD4"/>
    <w:multiLevelType w:val="hybridMultilevel"/>
    <w:lvl w:ilvl="0">
      <w:lvlJc w:val="left"/>
      <w:lvlText w:val="(%1)"/>
      <w:numFmt w:val="lowerLetter"/>
      <w:start w:val="1"/>
    </w:lvl>
  </w:abstractNum>
  <w:abstractNum w:abstractNumId="41">
    <w:nsid w:val="19E21BB2"/>
    <w:multiLevelType w:val="hybridMultilevel"/>
    <w:lvl w:ilvl="0">
      <w:lvlJc w:val="left"/>
      <w:lvlText w:val="(%1)"/>
      <w:numFmt w:val="lowerLetter"/>
      <w:start w:val="1"/>
    </w:lvl>
  </w:abstractNum>
  <w:abstractNum w:abstractNumId="42">
    <w:nsid w:val="75E0858A"/>
    <w:multiLevelType w:val="hybridMultilevel"/>
    <w:lvl w:ilvl="0">
      <w:lvlJc w:val="left"/>
      <w:lvlText w:val="(%1)"/>
      <w:numFmt w:val="lowerLetter"/>
      <w:start w:val="2"/>
    </w:lvl>
  </w:abstractNum>
  <w:abstractNum w:abstractNumId="43">
    <w:nsid w:val="57A61A29"/>
    <w:multiLevelType w:val="hybridMultilevel"/>
    <w:lvl w:ilvl="0">
      <w:lvlJc w:val="left"/>
      <w:lvlText w:val="(%1)"/>
      <w:numFmt w:val="lowerLetter"/>
      <w:start w:val="11"/>
    </w:lvl>
  </w:abstractNum>
  <w:abstractNum w:abstractNumId="44">
    <w:nsid w:val="5399C654"/>
    <w:multiLevelType w:val="hybridMultilevel"/>
    <w:lvl w:ilvl="0">
      <w:lvlJc w:val="left"/>
      <w:lvlText w:val="(%1)"/>
      <w:numFmt w:val="lowerLetter"/>
      <w:start w:val="1"/>
    </w:lvl>
  </w:abstractNum>
  <w:abstractNum w:abstractNumId="45">
    <w:nsid w:val="20EE1348"/>
    <w:multiLevelType w:val="hybridMultilevel"/>
    <w:lvl w:ilvl="0">
      <w:lvlJc w:val="left"/>
      <w:lvlText w:val="(%1)"/>
      <w:numFmt w:val="decimal"/>
      <w:start w:val="1"/>
    </w:lvl>
  </w:abstractNum>
  <w:abstractNum w:abstractNumId="46">
    <w:nsid w:val="4427069A"/>
    <w:multiLevelType w:val="hybridMultilevel"/>
    <w:lvl w:ilvl="0">
      <w:lvlJc w:val="left"/>
      <w:lvlText w:val="(%1)"/>
      <w:numFmt w:val="lowerLetter"/>
      <w:start w:val="1"/>
    </w:lvl>
  </w:abstractNum>
  <w:abstractNum w:abstractNumId="47">
    <w:nsid w:val="B37E80A"/>
    <w:multiLevelType w:val="hybridMultilevel"/>
    <w:lvl w:ilvl="0">
      <w:lvlJc w:val="left"/>
      <w:lvlText w:val="(%1)"/>
      <w:numFmt w:val="lowerLetter"/>
      <w:start w:val="2"/>
    </w:lvl>
  </w:abstractNum>
  <w:abstractNum w:abstractNumId="48">
    <w:nsid w:val="2157F6BC"/>
    <w:multiLevelType w:val="hybridMultilevel"/>
    <w:lvl w:ilvl="0">
      <w:lvlJc w:val="left"/>
      <w:lvlText w:val="(%1)"/>
      <w:numFmt w:val="lowerLetter"/>
      <w:start w:val="1"/>
    </w:lvl>
  </w:abstractNum>
  <w:abstractNum w:abstractNumId="49">
    <w:nsid w:val="704E1DD5"/>
    <w:multiLevelType w:val="hybridMultilevel"/>
    <w:lvl w:ilvl="0">
      <w:lvlJc w:val="left"/>
      <w:lvlText w:val="(%1)"/>
      <w:numFmt w:val="lowerRoman"/>
      <w:start w:val="1"/>
    </w:lvl>
  </w:abstractNum>
  <w:abstractNum w:abstractNumId="50">
    <w:nsid w:val="57D2F10E"/>
    <w:multiLevelType w:val="hybridMultilevel"/>
    <w:lvl w:ilvl="0">
      <w:lvlJc w:val="left"/>
      <w:lvlText w:val="(%1)"/>
      <w:numFmt w:val="lowerLetter"/>
      <w:start w:val="1"/>
    </w:lvl>
  </w:abstractNum>
  <w:abstractNum w:abstractNumId="51">
    <w:nsid w:val="BFFAE18"/>
    <w:multiLevelType w:val="hybridMultilevel"/>
    <w:lvl w:ilvl="0">
      <w:lvlJc w:val="left"/>
      <w:lvlText w:val="(%1)"/>
      <w:numFmt w:val="lowerLetter"/>
      <w:start w:val="2"/>
    </w:lvl>
  </w:abstractNum>
  <w:abstractNum w:abstractNumId="52">
    <w:nsid w:val="E3E47A8"/>
    <w:multiLevelType w:val="hybridMultilevel"/>
    <w:lvl w:ilvl="0">
      <w:lvlJc w:val="left"/>
      <w:lvlText w:val="(%1)"/>
      <w:numFmt w:val="lowerLetter"/>
      <w:start w:val="11"/>
    </w:lvl>
  </w:abstractNum>
  <w:abstractNum w:abstractNumId="53">
    <w:nsid w:val="2E48F044"/>
    <w:multiLevelType w:val="hybridMultilevel"/>
    <w:lvl w:ilvl="0">
      <w:lvlJc w:val="left"/>
      <w:lvlText w:val="(%1)"/>
      <w:numFmt w:val="lowerLetter"/>
      <w:start w:val="1"/>
    </w:lvl>
  </w:abstractNum>
  <w:abstractNum w:abstractNumId="54">
    <w:nsid w:val="49D0FEAC"/>
    <w:multiLevelType w:val="hybridMultilevel"/>
    <w:lvl w:ilvl="0">
      <w:lvlJc w:val="left"/>
      <w:lvlText w:val="(%1)"/>
      <w:numFmt w:val="lowerLetter"/>
      <w:start w:val="1"/>
    </w:lvl>
    <w:lvl w:ilvl="1">
      <w:lvlJc w:val="left"/>
      <w:lvlText w:val="(%2)"/>
      <w:numFmt w:val="lowerRoman"/>
      <w:start w:val="1"/>
    </w:lvl>
  </w:abstractNum>
  <w:abstractNum w:abstractNumId="55">
    <w:nsid w:val="4BEE5A5B"/>
    <w:multiLevelType w:val="hybridMultilevel"/>
    <w:lvl w:ilvl="0">
      <w:lvlJc w:val="left"/>
      <w:lvlText w:val="(%1)"/>
      <w:numFmt w:val="lowerLetter"/>
      <w:start w:val="1"/>
    </w:lvl>
    <w:lvl w:ilvl="1">
      <w:lvlJc w:val="left"/>
      <w:lvlText w:val="(%2)"/>
      <w:numFmt w:val="lowerLetter"/>
      <w:start w:val="9"/>
    </w:lvl>
  </w:abstractNum>
  <w:abstractNum w:abstractNumId="56">
    <w:nsid w:val="5551B9F3"/>
    <w:multiLevelType w:val="hybridMultilevel"/>
    <w:lvl w:ilvl="0">
      <w:lvlJc w:val="left"/>
      <w:lvlText w:val="(%1)"/>
      <w:numFmt w:val="lowerRoman"/>
      <w:start w:val="2"/>
    </w:lvl>
  </w:abstractNum>
  <w:abstractNum w:abstractNumId="57">
    <w:nsid w:val="24F6AB8E"/>
    <w:multiLevelType w:val="hybridMultilevel"/>
    <w:lvl w:ilvl="0">
      <w:lvlJc w:val="left"/>
      <w:lvlText w:val="(%1)"/>
      <w:numFmt w:val="lowerLetter"/>
      <w:start w:val="3"/>
    </w:lvl>
  </w:abstractNum>
  <w:abstractNum w:abstractNumId="58">
    <w:nsid w:val="634C574C"/>
    <w:multiLevelType w:val="hybridMultilevel"/>
    <w:lvl w:ilvl="0">
      <w:lvlJc w:val="left"/>
      <w:lvlText w:val="(%1)"/>
      <w:numFmt w:val="lowerLetter"/>
      <w:start w:val="1"/>
    </w:lvl>
  </w:abstractNum>
  <w:abstractNum w:abstractNumId="59">
    <w:nsid w:val="24E99DD7"/>
    <w:multiLevelType w:val="hybridMultilevel"/>
    <w:lvl w:ilvl="0">
      <w:lvlJc w:val="left"/>
      <w:lvlText w:val="(%1)"/>
      <w:numFmt w:val="lowerLetter"/>
      <w:start w:val="3"/>
    </w:lvl>
  </w:abstractNum>
  <w:abstractNum w:abstractNumId="60">
    <w:nsid w:val="2A31B62D"/>
    <w:multiLevelType w:val="hybridMultilevel"/>
    <w:lvl w:ilvl="0">
      <w:lvlJc w:val="left"/>
      <w:lvlText w:val="(%1)"/>
      <w:numFmt w:val="lowerLetter"/>
      <w:start w:val="1"/>
    </w:lvl>
  </w:abstractNum>
  <w:abstractNum w:abstractNumId="61">
    <w:nsid w:val="1849C29B"/>
    <w:multiLevelType w:val="hybridMultilevel"/>
    <w:lvl w:ilvl="0">
      <w:lvlJc w:val="left"/>
      <w:lvlText w:val="(%1)"/>
      <w:numFmt w:val="lowerLetter"/>
      <w:start w:val="1"/>
    </w:lvl>
  </w:abstractNum>
  <w:abstractNum w:abstractNumId="62">
    <w:nsid w:val="7DFF9D09"/>
    <w:multiLevelType w:val="hybridMultilevel"/>
    <w:lvl w:ilvl="0">
      <w:lvlJc w:val="left"/>
      <w:lvlText w:val="(%1)"/>
      <w:numFmt w:val="lowerLetter"/>
      <w:start w:val="1"/>
    </w:lvl>
  </w:abstractNum>
  <w:abstractNum w:abstractNumId="63">
    <w:nsid w:val="754342"/>
    <w:multiLevelType w:val="hybridMultilevel"/>
    <w:lvl w:ilvl="0">
      <w:lvlJc w:val="left"/>
      <w:lvlText w:val="(%1)"/>
      <w:numFmt w:val="lowerLetter"/>
      <w:start w:val="13"/>
    </w:lvl>
  </w:abstractNum>
  <w:abstractNum w:abstractNumId="64">
    <w:nsid w:val="69E7F3E5"/>
    <w:multiLevelType w:val="hybridMultilevel"/>
    <w:lvl w:ilvl="0">
      <w:lvlJc w:val="left"/>
      <w:lvlText w:val="(%1)"/>
      <w:numFmt w:val="lowerLetter"/>
      <w:start w:val="1"/>
    </w:lvl>
  </w:abstractNum>
  <w:abstractNum w:abstractNumId="65">
    <w:nsid w:val="2A6DE806"/>
    <w:multiLevelType w:val="hybridMultilevel"/>
    <w:lvl w:ilvl="0">
      <w:lvlJc w:val="left"/>
      <w:lvlText w:val="(%1)"/>
      <w:numFmt w:val="lowerRoman"/>
      <w:start w:val="1"/>
    </w:lvl>
  </w:abstractNum>
  <w:abstractNum w:abstractNumId="66">
    <w:nsid w:val="1816F8C4"/>
    <w:multiLevelType w:val="hybridMultilevel"/>
    <w:lvl w:ilvl="0">
      <w:lvlJc w:val="left"/>
      <w:lvlText w:val="(%1)"/>
      <w:numFmt w:val="lowerLetter"/>
      <w:start w:val="1"/>
    </w:lvl>
  </w:abstractNum>
  <w:abstractNum w:abstractNumId="67">
    <w:nsid w:val="37DF2233"/>
    <w:multiLevelType w:val="hybridMultilevel"/>
    <w:lvl w:ilvl="0">
      <w:lvlJc w:val="left"/>
      <w:lvlText w:val="(%1)"/>
      <w:numFmt w:val="lowerLetter"/>
      <w:start w:val="12"/>
    </w:lvl>
    <w:lvl w:ilvl="1">
      <w:lvlJc w:val="left"/>
      <w:lvlText w:val="(%2)"/>
      <w:numFmt w:val="lowerLetter"/>
      <w:start w:val="3"/>
    </w:lvl>
  </w:abstractNum>
  <w:abstractNum w:abstractNumId="68">
    <w:nsid w:val="7AB49DAF"/>
    <w:multiLevelType w:val="hybridMultilevel"/>
    <w:lvl w:ilvl="0">
      <w:lvlJc w:val="left"/>
      <w:lvlText w:val="(%1)"/>
      <w:numFmt w:val="lowerLetter"/>
      <w:start w:val="5"/>
    </w:lvl>
  </w:abstractNum>
  <w:abstractNum w:abstractNumId="69">
    <w:nsid w:val="759F82CD"/>
    <w:multiLevelType w:val="hybridMultilevel"/>
    <w:lvl w:ilvl="0">
      <w:lvlJc w:val="left"/>
      <w:lvlText w:val="(%1)"/>
      <w:numFmt w:val="lowerLetter"/>
      <w:start w:val="6"/>
    </w:lvl>
  </w:abstractNum>
  <w:abstractNum w:abstractNumId="70">
    <w:nsid w:val="61E74EA3"/>
    <w:multiLevelType w:val="hybridMultilevel"/>
    <w:lvl w:ilvl="0">
      <w:lvlJc w:val="left"/>
      <w:lvlText w:val="(%1)"/>
      <w:numFmt w:val="lowerLetter"/>
      <w:start w:val="5"/>
    </w:lvl>
    <w:lvl w:ilvl="1">
      <w:lvlJc w:val="left"/>
      <w:lvlText w:val="(%2)"/>
      <w:numFmt w:val="lowerLetter"/>
      <w:start w:val="8"/>
    </w:lvl>
  </w:abstractNum>
  <w:abstractNum w:abstractNumId="71">
    <w:nsid w:val="597B4D84"/>
    <w:multiLevelType w:val="hybridMultilevel"/>
    <w:lvl w:ilvl="0">
      <w:lvlJc w:val="left"/>
      <w:lvlText w:val="(%1)"/>
      <w:numFmt w:val="lowerLetter"/>
      <w:start w:val="10"/>
    </w:lvl>
  </w:abstractNum>
  <w:abstractNum w:abstractNumId="72">
    <w:nsid w:val="F819E7F"/>
    <w:multiLevelType w:val="hybridMultilevel"/>
    <w:lvl w:ilvl="0">
      <w:lvlJc w:val="left"/>
      <w:lvlText w:val="(%1)"/>
      <w:numFmt w:val="lowerLetter"/>
      <w:start w:val="12"/>
    </w:lvl>
  </w:abstractNum>
  <w:abstractNum w:abstractNumId="73">
    <w:nsid w:val="57C7D42D"/>
    <w:multiLevelType w:val="hybridMultilevel"/>
    <w:lvl w:ilvl="0">
      <w:lvlJc w:val="left"/>
      <w:lvlText w:val="(%1)"/>
      <w:numFmt w:val="lowerLetter"/>
      <w:start w:val="1"/>
    </w:lvl>
  </w:abstractNum>
  <w:abstractNum w:abstractNumId="74">
    <w:nsid w:val="312167AD"/>
    <w:multiLevelType w:val="hybridMultilevel"/>
    <w:lvl w:ilvl="0">
      <w:lvlJc w:val="left"/>
      <w:lvlText w:val="(%1)"/>
      <w:numFmt w:val="lowerLetter"/>
      <w:start w:val="2"/>
    </w:lvl>
  </w:abstractNum>
  <w:abstractNum w:abstractNumId="75">
    <w:nsid w:val="631B64D4"/>
    <w:multiLevelType w:val="hybridMultilevel"/>
    <w:lvl w:ilvl="0">
      <w:lvlJc w:val="left"/>
      <w:lvlText w:val="(%1)"/>
      <w:numFmt w:val="lowerLetter"/>
      <w:start w:val="1"/>
    </w:lvl>
  </w:abstractNum>
  <w:abstractNum w:abstractNumId="76">
    <w:nsid w:val="78B5E776"/>
    <w:multiLevelType w:val="hybridMultilevel"/>
    <w:lvl w:ilvl="0">
      <w:lvlJc w:val="left"/>
      <w:lvlText w:val="(%1)"/>
      <w:numFmt w:val="lowerLetter"/>
      <w:start w:val="2"/>
    </w:lvl>
    <w:lvl w:ilvl="1">
      <w:lvlJc w:val="left"/>
      <w:lvlText w:val="(%2)"/>
      <w:numFmt w:val="lowerRoman"/>
      <w:start w:val="1"/>
    </w:lvl>
  </w:abstractNum>
  <w:abstractNum w:abstractNumId="77">
    <w:nsid w:val="75486E47"/>
    <w:multiLevelType w:val="hybridMultilevel"/>
    <w:lvl w:ilvl="0">
      <w:lvlJc w:val="left"/>
      <w:lvlText w:val="(%1)"/>
      <w:numFmt w:val="lowerLetter"/>
      <w:start w:val="4"/>
    </w:lvl>
  </w:abstractNum>
  <w:abstractNum w:abstractNumId="78">
    <w:nsid w:val="6E534CDE"/>
    <w:multiLevelType w:val="hybridMultilevel"/>
    <w:lvl w:ilvl="0">
      <w:lvlJc w:val="left"/>
      <w:lvlText w:val="%1"/>
      <w:numFmt w:val="lowerLetter"/>
      <w:start w:val="1"/>
    </w:lvl>
    <w:lvl w:ilvl="1">
      <w:lvlJc w:val="left"/>
      <w:lvlText w:val="(%2)"/>
      <w:numFmt w:val="lowerLetter"/>
      <w:start w:val="1"/>
    </w:lvl>
  </w:abstractNum>
  <w:abstractNum w:abstractNumId="79">
    <w:nsid w:val="1A0DDE32"/>
    <w:multiLevelType w:val="hybridMultilevel"/>
    <w:lvl w:ilvl="0">
      <w:lvlJc w:val="left"/>
      <w:lvlText w:val="(%1)"/>
      <w:numFmt w:val="lowerLetter"/>
      <w:start w:val="9"/>
    </w:lvl>
    <w:lvl w:ilvl="1">
      <w:lvlJc w:val="left"/>
      <w:lvlText w:val="(%2)"/>
      <w:numFmt w:val="lowerLetter"/>
      <w:start w:val="3"/>
    </w:lvl>
  </w:abstractNum>
  <w:abstractNum w:abstractNumId="80">
    <w:nsid w:val="65968C1C"/>
    <w:multiLevelType w:val="hybridMultilevel"/>
    <w:lvl w:ilvl="0">
      <w:lvlJc w:val="left"/>
      <w:lvlText w:val="(%1)"/>
      <w:numFmt w:val="lowerLetter"/>
      <w:start w:val="1"/>
    </w:lvl>
  </w:abstractNum>
  <w:abstractNum w:abstractNumId="81">
    <w:nsid w:val="46263DEC"/>
    <w:multiLevelType w:val="hybridMultilevel"/>
    <w:lvl w:ilvl="0">
      <w:lvlJc w:val="left"/>
      <w:lvlText w:val="(%1)"/>
      <w:numFmt w:val="lowerLetter"/>
      <w:start w:val="1"/>
    </w:lvl>
  </w:abstractNum>
  <w:abstractNum w:abstractNumId="82">
    <w:nsid w:val="260D8C4A"/>
    <w:multiLevelType w:val="hybridMultilevel"/>
    <w:lvl w:ilvl="0">
      <w:lvlJc w:val="left"/>
      <w:lvlText w:val="(%1)"/>
      <w:numFmt w:val="lowerLetter"/>
      <w:start w:val="1"/>
    </w:lvl>
  </w:abstractNum>
  <w:abstractNum w:abstractNumId="83">
    <w:nsid w:val="73D4D3C4"/>
    <w:multiLevelType w:val="hybridMultilevel"/>
    <w:lvl w:ilvl="0">
      <w:lvlJc w:val="left"/>
      <w:lvlText w:val="(%1)"/>
      <w:numFmt w:val="lowerLetter"/>
      <w:start w:val="3"/>
    </w:lvl>
  </w:abstractNum>
  <w:abstractNum w:abstractNumId="84">
    <w:nsid w:val="746F2E30"/>
    <w:multiLevelType w:val="hybridMultilevel"/>
    <w:lvl w:ilvl="0">
      <w:lvlJc w:val="left"/>
      <w:lvlText w:val="(%1)"/>
      <w:numFmt w:val="lowerLetter"/>
      <w:start w:val="1"/>
    </w:lvl>
  </w:abstractNum>
  <w:abstractNum w:abstractNumId="85">
    <w:nsid w:val="6FDE8AF6"/>
    <w:multiLevelType w:val="hybridMultilevel"/>
    <w:lvl w:ilvl="0">
      <w:lvlJc w:val="left"/>
      <w:lvlText w:val="(%1)"/>
      <w:numFmt w:val="lowerLetter"/>
      <w:start w:val="5"/>
    </w:lvl>
  </w:abstractNum>
  <w:abstractNum w:abstractNumId="86">
    <w:nsid w:val="3FC32E20"/>
    <w:multiLevelType w:val="hybridMultilevel"/>
    <w:lvl w:ilvl="0">
      <w:lvlJc w:val="left"/>
      <w:lvlText w:val="(%1)"/>
      <w:numFmt w:val="lowerLetter"/>
      <w:start w:val="1"/>
    </w:lvl>
    <w:lvl w:ilvl="1">
      <w:lvlJc w:val="left"/>
      <w:lvlText w:val="(%2)"/>
      <w:numFmt w:val="lowerRoman"/>
      <w:start w:val="1"/>
    </w:lvl>
  </w:abstractNum>
  <w:abstractNum w:abstractNumId="87">
    <w:nsid w:val="49C0E823"/>
    <w:multiLevelType w:val="hybridMultilevel"/>
    <w:lvl w:ilvl="0">
      <w:lvlJc w:val="left"/>
      <w:lvlText w:val="(%1)"/>
      <w:numFmt w:val="lowerLetter"/>
      <w:start w:val="2"/>
    </w:lvl>
  </w:abstractNum>
  <w:abstractNum w:abstractNumId="88">
    <w:nsid w:val="14D53685"/>
    <w:multiLevelType w:val="hybridMultilevel"/>
    <w:lvl w:ilvl="0">
      <w:lvlJc w:val="left"/>
      <w:lvlText w:val="(%1)"/>
      <w:numFmt w:val="lowerLetter"/>
      <w:start w:val="4"/>
    </w:lvl>
  </w:abstractNum>
  <w:abstractNum w:abstractNumId="89">
    <w:nsid w:val="230F856C"/>
    <w:multiLevelType w:val="hybridMultilevel"/>
    <w:lvl w:ilvl="0">
      <w:lvlJc w:val="left"/>
      <w:lvlText w:val="(%1)"/>
      <w:numFmt w:val="lowerLetter"/>
      <w:start w:val="1"/>
    </w:lvl>
    <w:lvl w:ilvl="1">
      <w:lvlJc w:val="left"/>
      <w:lvlText w:val="(%2)"/>
      <w:numFmt w:val="lowerRoman"/>
      <w:start w:val="1"/>
    </w:lvl>
  </w:abstractNum>
  <w:abstractNum w:abstractNumId="90">
    <w:nsid w:val="6EAA85FB"/>
    <w:multiLevelType w:val="hybridMultilevel"/>
    <w:lvl w:ilvl="0">
      <w:lvlJc w:val="left"/>
      <w:lvlText w:val="(%1)"/>
      <w:numFmt w:val="lowerLetter"/>
      <w:start w:val="2"/>
    </w:lvl>
  </w:abstractNum>
  <w:abstractNum w:abstractNumId="91">
    <w:nsid w:val="3F06ECB2"/>
    <w:multiLevelType w:val="hybridMultilevel"/>
    <w:lvl w:ilvl="0">
      <w:lvlJc w:val="left"/>
      <w:lvlText w:val="(%1)"/>
      <w:numFmt w:val="lowerLetter"/>
      <w:start w:val="1"/>
    </w:lvl>
  </w:abstractNum>
  <w:abstractNum w:abstractNumId="92">
    <w:nsid w:val="3B59480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3">
    <w:nsid w:val="6CAA2304"/>
    <w:multiLevelType w:val="hybridMultilevel"/>
    <w:lvl w:ilvl="0">
      <w:lvlJc w:val="left"/>
      <w:lvlText w:val="(%1)"/>
      <w:numFmt w:val="upperLetter"/>
      <w:start w:val="2"/>
    </w:lvl>
    <w:lvl w:ilvl="1">
      <w:lvlJc w:val="left"/>
      <w:lvlText w:val="(%2)"/>
      <w:numFmt w:val="decimal"/>
      <w:start w:val="1"/>
    </w:lvl>
  </w:abstractNum>
  <w:abstractNum w:abstractNumId="94">
    <w:nsid w:val="3F7C2FF4"/>
    <w:multiLevelType w:val="hybridMultilevel"/>
    <w:lvl w:ilvl="0">
      <w:lvlJc w:val="left"/>
      <w:lvlText w:val="(%1)"/>
      <w:numFmt w:val="upperLetter"/>
      <w:start w:val="4"/>
    </w:lvl>
  </w:abstractNum>
  <w:abstractNum w:abstractNumId="95">
    <w:nsid w:val="25413BE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2"/>
    </w:lvl>
  </w:abstractNum>
  <w:abstractNum w:abstractNumId="96">
    <w:nsid w:val="17180B0B"/>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97">
    <w:nsid w:val="579328B9"/>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98">
    <w:nsid w:val="5D205E20"/>
    <w:multiLevelType w:val="hybridMultilevel"/>
    <w:lvl w:ilvl="0">
      <w:lvlJc w:val="left"/>
      <w:lvlText w:val="(%1)"/>
      <w:numFmt w:val="lowerRoman"/>
      <w:start w:val="4"/>
    </w:lvl>
  </w:abstractNum>
  <w:abstractNum w:abstractNumId="99">
    <w:nsid w:val="11CCA8BA"/>
    <w:multiLevelType w:val="hybridMultilevel"/>
    <w:lvl w:ilvl="0">
      <w:lvlJc w:val="left"/>
      <w:lvlText w:val="(%1)"/>
      <w:numFmt w:val="lowerRoman"/>
      <w:start w:val="7"/>
    </w:lvl>
    <w:lvl w:ilvl="1">
      <w:lvlJc w:val="left"/>
      <w:lvlText w:val="(%2)"/>
      <w:numFmt w:val="upperLetter"/>
      <w:start w:val="1"/>
    </w:lvl>
  </w:abstractNum>
  <w:abstractNum w:abstractNumId="100">
    <w:nsid w:val="4D32AB86"/>
    <w:multiLevelType w:val="hybridMultilevel"/>
    <w:lvl w:ilvl="0">
      <w:lvlJc w:val="left"/>
      <w:lvlText w:val="%1"/>
      <w:numFmt w:val="lowerLetter"/>
      <w:start w:val="1"/>
    </w:lvl>
    <w:lvl w:ilvl="1">
      <w:lvlJc w:val="left"/>
      <w:lvlText w:val="(%2)"/>
      <w:numFmt w:val="lowerRoman"/>
      <w:start w:val="9"/>
    </w:lvl>
  </w:abstractNum>
  <w:abstractNum w:abstractNumId="101">
    <w:nsid w:val="3F07ACC3"/>
    <w:multiLevelType w:val="hybridMultilevel"/>
    <w:lvl w:ilvl="0">
      <w:lvlJc w:val="left"/>
      <w:lvlText w:val="(%1)"/>
      <w:numFmt w:val="lowerLetter"/>
      <w:start w:val="7"/>
    </w:lvl>
    <w:lvl w:ilvl="1">
      <w:lvlJc w:val="left"/>
      <w:lvlText w:val="%2"/>
      <w:numFmt w:val="lowerRoman"/>
      <w:start w:val="1"/>
    </w:lvl>
  </w:abstractNum>
  <w:abstractNum w:abstractNumId="102">
    <w:nsid w:val="6B47F63E"/>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03">
    <w:nsid w:val="5CB44A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04">
    <w:nsid w:val="16CF80F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05">
    <w:nsid w:val="1C695DEC"/>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06">
    <w:nsid w:val="3FCFAED9"/>
    <w:multiLevelType w:val="hybridMultilevel"/>
    <w:lvl w:ilvl="0">
      <w:lvlJc w:val="left"/>
      <w:lvlText w:val="(%1)"/>
      <w:numFmt w:val="lowerLetter"/>
      <w:start w:val="1"/>
    </w:lvl>
  </w:abstractNum>
  <w:abstractNum w:abstractNumId="107">
    <w:nsid w:val="F856867"/>
    <w:multiLevelType w:val="hybridMultilevel"/>
    <w:lvl w:ilvl="0">
      <w:lvlJc w:val="left"/>
      <w:lvlText w:val="(%1)"/>
      <w:numFmt w:val="lowerLetter"/>
      <w:start w:val="2"/>
    </w:lvl>
  </w:abstractNum>
  <w:abstractNum w:abstractNumId="108">
    <w:nsid w:val="11B1CC33"/>
    <w:multiLevelType w:val="hybridMultilevel"/>
    <w:lvl w:ilvl="0">
      <w:lvlJc w:val="left"/>
      <w:lvlText w:val="(%1)"/>
      <w:numFmt w:val="lowerLetter"/>
      <w:start w:val="5"/>
    </w:lvl>
  </w:abstractNum>
  <w:abstractNum w:abstractNumId="109">
    <w:nsid w:val="2E22FBB7"/>
    <w:multiLevelType w:val="hybridMultilevel"/>
    <w:lvl w:ilvl="0">
      <w:lvlJc w:val="left"/>
      <w:lvlText w:val="(%1)"/>
      <w:numFmt w:val="lowerLetter"/>
      <w:start w:val="1"/>
    </w:lvl>
  </w:abstractNum>
  <w:abstractNum w:abstractNumId="110">
    <w:nsid w:val="29934699"/>
    <w:multiLevelType w:val="hybridMultilevel"/>
    <w:lvl w:ilvl="0">
      <w:lvlJc w:val="left"/>
      <w:lvlText w:val="(%1)"/>
      <w:numFmt w:val="lowerLetter"/>
      <w:start w:val="1"/>
    </w:lvl>
    <w:lvl w:ilvl="1">
      <w:lvlJc w:val="left"/>
      <w:lvlText w:val="(%2)"/>
      <w:numFmt w:val="lowerLetter"/>
      <w:start w:val="9"/>
    </w:lvl>
  </w:abstractNum>
  <w:abstractNum w:abstractNumId="111">
    <w:nsid w:val="77485850"/>
    <w:multiLevelType w:val="hybridMultilevel"/>
    <w:lvl w:ilvl="0">
      <w:lvlJc w:val="left"/>
      <w:lvlText w:val="%1"/>
      <w:numFmt w:val="lowerRoman"/>
      <w:start w:val="1"/>
    </w:lvl>
    <w:lvl w:ilvl="1">
      <w:lvlJc w:val="left"/>
      <w:lvlText w:val="(%2)"/>
      <w:numFmt w:val="lowerRoman"/>
      <w:start w:val="2"/>
    </w:lvl>
  </w:abstractNum>
  <w:abstractNum w:abstractNumId="112">
    <w:nsid w:val="744939A3"/>
    <w:multiLevelType w:val="hybridMultilevel"/>
    <w:lvl w:ilvl="0">
      <w:lvlJc w:val="left"/>
      <w:lvlText w:val="(%1)"/>
      <w:numFmt w:val="lowerRoman"/>
      <w:start w:val="2"/>
    </w:lvl>
    <w:lvl w:ilvl="1">
      <w:lvlJc w:val="left"/>
      <w:lvlText w:val="(%2)"/>
      <w:numFmt w:val="lowerRoman"/>
      <w:start w:val="4"/>
    </w:lvl>
  </w:abstractNum>
  <w:abstractNum w:abstractNumId="113">
    <w:nsid w:val="4FA0D2E3"/>
    <w:multiLevelType w:val="hybridMultilevel"/>
    <w:lvl w:ilvl="0">
      <w:lvlJc w:val="left"/>
      <w:lvlText w:val="(%1)"/>
      <w:numFmt w:val="lowerLetter"/>
      <w:start w:val="4"/>
    </w:lvl>
  </w:abstractNum>
  <w:abstractNum w:abstractNumId="114">
    <w:nsid w:val="6B1D2C14"/>
    <w:multiLevelType w:val="hybridMultilevel"/>
    <w:lvl w:ilvl="0">
      <w:lvlJc w:val="left"/>
      <w:lvlText w:val="(%1)"/>
      <w:numFmt w:val="lowerLetter"/>
      <w:start w:val="1"/>
    </w:lvl>
  </w:abstractNum>
  <w:abstractNum w:abstractNumId="115">
    <w:nsid w:val="68B867D3"/>
    <w:multiLevelType w:val="hybridMultilevel"/>
    <w:lvl w:ilvl="0">
      <w:lvlJc w:val="left"/>
      <w:lvlText w:val="(%1)"/>
      <w:numFmt w:val="lowerLetter"/>
      <w:start w:val="1"/>
    </w:lvl>
  </w:abstractNum>
  <w:abstractNum w:abstractNumId="116">
    <w:nsid w:val="3F7F5DD9"/>
    <w:multiLevelType w:val="hybridMultilevel"/>
    <w:lvl w:ilvl="0">
      <w:lvlJc w:val="left"/>
      <w:lvlText w:val="(%1)"/>
      <w:numFmt w:val="lowerLetter"/>
      <w:start w:val="2"/>
    </w:lvl>
  </w:abstractNum>
  <w:abstractNum w:abstractNumId="117">
    <w:nsid w:val="2AE05A34"/>
    <w:multiLevelType w:val="hybridMultilevel"/>
    <w:lvl w:ilvl="0">
      <w:lvlJc w:val="left"/>
      <w:lvlText w:val="(%1)"/>
      <w:numFmt w:val="lowerLetter"/>
      <w:start w:val="1"/>
    </w:lvl>
  </w:abstractNum>
  <w:abstractNum w:abstractNumId="118">
    <w:nsid w:val="32794FF7"/>
    <w:multiLevelType w:val="hybridMultilevel"/>
    <w:lvl w:ilvl="0">
      <w:lvlJc w:val="left"/>
      <w:lvlText w:val="(%1)"/>
      <w:numFmt w:val="lowerRoman"/>
      <w:start w:val="1"/>
    </w:lvl>
  </w:abstractNum>
  <w:abstractNum w:abstractNumId="119">
    <w:nsid w:val="5454945E"/>
    <w:multiLevelType w:val="hybridMultilevel"/>
    <w:lvl w:ilvl="0">
      <w:lvlJc w:val="left"/>
      <w:lvlText w:val="(%1)"/>
      <w:numFmt w:val="lowerLetter"/>
      <w:start w:val="1"/>
    </w:lvl>
  </w:abstractNum>
  <w:abstractNum w:abstractNumId="120">
    <w:nsid w:val="4DEFDFA0"/>
    <w:multiLevelType w:val="hybridMultilevel"/>
    <w:lvl w:ilvl="0">
      <w:lvlJc w:val="left"/>
      <w:lvlText w:val="(%1)"/>
      <w:numFmt w:val="lowerLetter"/>
      <w:start w:val="1"/>
    </w:lvl>
  </w:abstractNum>
  <w:abstractNum w:abstractNumId="121">
    <w:nsid w:val="2123D5F2"/>
    <w:multiLevelType w:val="hybridMultilevel"/>
    <w:lvl w:ilvl="0">
      <w:lvlJc w:val="left"/>
      <w:lvlText w:val="(%1)"/>
      <w:numFmt w:val="lowerLetter"/>
      <w:start w:val="1"/>
    </w:lvl>
  </w:abstractNum>
  <w:abstractNum w:abstractNumId="122">
    <w:nsid w:val="135B8110"/>
    <w:multiLevelType w:val="hybridMultilevel"/>
    <w:lvl w:ilvl="0">
      <w:lvlJc w:val="left"/>
      <w:lvlText w:val="(%1)"/>
      <w:numFmt w:val="lowerLetter"/>
      <w:start w:val="2"/>
    </w:lvl>
  </w:abstractNum>
  <w:abstractNum w:abstractNumId="123">
    <w:nsid w:val="94927A8"/>
    <w:multiLevelType w:val="hybridMultilevel"/>
    <w:lvl w:ilvl="0">
      <w:lvlJc w:val="left"/>
      <w:lvlText w:val="(%1)"/>
      <w:numFmt w:val="lowerLetter"/>
      <w:start w:val="1"/>
    </w:lvl>
  </w:abstractNum>
  <w:abstractNum w:abstractNumId="124">
    <w:nsid w:val="DCDF8F6"/>
    <w:multiLevelType w:val="hybridMultilevel"/>
    <w:lvl w:ilvl="0">
      <w:lvlJc w:val="left"/>
      <w:lvlText w:val="(%1)"/>
      <w:numFmt w:val="lowerLetter"/>
      <w:start w:val="4"/>
    </w:lvl>
  </w:abstractNum>
  <w:abstractNum w:abstractNumId="125">
    <w:nsid w:val="52D7B105"/>
    <w:multiLevelType w:val="hybridMultilevel"/>
    <w:lvl w:ilvl="0">
      <w:lvlJc w:val="left"/>
      <w:lvlText w:val="&amp;"/>
      <w:numFmt w:val="bullet"/>
      <w:start w:val="1"/>
    </w:lvl>
    <w:lvl w:ilvl="1">
      <w:lvlJc w:val="left"/>
      <w:lvlText w:val="(%2)"/>
      <w:numFmt w:val="lowerLetter"/>
      <w:start w:val="1"/>
    </w:lvl>
  </w:abstractNum>
  <w:abstractNum w:abstractNumId="126">
    <w:nsid w:val="2E8A6394"/>
    <w:multiLevelType w:val="hybridMultilevel"/>
    <w:lvl w:ilvl="0">
      <w:lvlJc w:val="left"/>
      <w:lvlText w:val="&amp;"/>
      <w:numFmt w:val="bullet"/>
      <w:start w:val="1"/>
    </w:lvl>
    <w:lvl w:ilvl="1">
      <w:lvlJc w:val="left"/>
      <w:lvlText w:val="(%2)"/>
      <w:numFmt w:val="lowerLetter"/>
      <w:start w:val="3"/>
    </w:lvl>
  </w:abstractNum>
  <w:abstractNum w:abstractNumId="127">
    <w:nsid w:val="24E60401"/>
    <w:multiLevelType w:val="hybridMultilevel"/>
    <w:lvl w:ilvl="0">
      <w:lvlJc w:val="left"/>
      <w:lvlText w:val="(%1)"/>
      <w:numFmt w:val="lowerLetter"/>
      <w:start w:val="4"/>
    </w:lvl>
  </w:abstractNum>
  <w:abstractNum w:abstractNumId="128">
    <w:nsid w:val="2A6AD9BE"/>
    <w:multiLevelType w:val="hybridMultilevel"/>
    <w:lvl w:ilvl="0">
      <w:lvlJc w:val="left"/>
      <w:lvlText w:val="%1"/>
      <w:numFmt w:val="lowerRoman"/>
      <w:start w:val="1"/>
    </w:lvl>
    <w:lvl w:ilvl="1">
      <w:lvlJc w:val="left"/>
      <w:lvlText w:val="(%2)"/>
      <w:numFmt w:val="lowerLetter"/>
      <w:start w:val="11"/>
    </w:lvl>
  </w:abstractNum>
  <w:abstractNum w:abstractNumId="129">
    <w:nsid w:val="BAAC1B4"/>
    <w:multiLevelType w:val="hybridMultilevel"/>
    <w:lvl w:ilvl="0">
      <w:lvlJc w:val="left"/>
      <w:lvlText w:val="(%1)"/>
      <w:numFmt w:val="lowerRoman"/>
      <w:start w:val="7"/>
    </w:lvl>
    <w:lvl w:ilvl="1">
      <w:lvlJc w:val="left"/>
      <w:lvlText w:val="(%2)"/>
      <w:numFmt w:val="lowerLetter"/>
      <w:start w:val="14"/>
    </w:lvl>
  </w:abstractNum>
  <w:abstractNum w:abstractNumId="130">
    <w:nsid w:val="36B2ACBC"/>
    <w:multiLevelType w:val="hybridMultilevel"/>
    <w:lvl w:ilvl="0">
      <w:lvlJc w:val="left"/>
      <w:lvlText w:val="(%1)"/>
      <w:numFmt w:val="lowerLetter"/>
      <w:start w:val="16"/>
    </w:lvl>
  </w:abstractNum>
  <w:abstractNum w:abstractNumId="131">
    <w:nsid w:val="779D8544"/>
    <w:multiLevelType w:val="hybridMultilevel"/>
    <w:lvl w:ilvl="0">
      <w:lvlJc w:val="left"/>
      <w:lvlText w:val="%1"/>
      <w:numFmt w:val="lowerLetter"/>
      <w:start w:val="1"/>
    </w:lvl>
    <w:lvl w:ilvl="1">
      <w:lvlJc w:val="left"/>
      <w:lvlText w:val="(%2)"/>
      <w:numFmt w:val="lowerLetter"/>
      <w:start w:val="1"/>
    </w:lvl>
  </w:abstractNum>
  <w:abstractNum w:abstractNumId="132">
    <w:nsid w:val="4AB26E78"/>
    <w:multiLevelType w:val="hybridMultilevel"/>
    <w:lvl w:ilvl="0">
      <w:lvlJc w:val="left"/>
      <w:lvlText w:val="(%1)"/>
      <w:numFmt w:val="lowerLetter"/>
      <w:start w:val="35"/>
    </w:lvl>
    <w:lvl w:ilvl="1">
      <w:lvlJc w:val="left"/>
      <w:lvlText w:val="%2"/>
      <w:numFmt w:val="lowerLetter"/>
      <w:start w:val="1"/>
    </w:lvl>
  </w:abstractNum>
  <w:abstractNum w:abstractNumId="133">
    <w:nsid w:val="21FAA2FA"/>
    <w:multiLevelType w:val="hybridMultilevel"/>
    <w:lvl w:ilvl="0">
      <w:lvlJc w:val="left"/>
      <w:lvlText w:val="(%1)"/>
      <w:numFmt w:val="lowerLetter"/>
      <w:start w:val="1"/>
    </w:lvl>
  </w:abstractNum>
  <w:abstractNum w:abstractNumId="134">
    <w:nsid w:val="5451CF49"/>
    <w:multiLevelType w:val="hybridMultilevel"/>
    <w:lvl w:ilvl="0">
      <w:lvlJc w:val="left"/>
      <w:lvlText w:val="(%1)"/>
      <w:numFmt w:val="lowerLetter"/>
      <w:start w:val="3"/>
    </w:lvl>
  </w:abstractNum>
  <w:abstractNum w:abstractNumId="135">
    <w:nsid w:val="6181EF69"/>
    <w:multiLevelType w:val="hybridMultilevel"/>
    <w:lvl w:ilvl="0">
      <w:lvlJc w:val="left"/>
      <w:lvlText w:val="(%1)"/>
      <w:numFmt w:val="lowerLetter"/>
      <w:start w:val="6"/>
    </w:lvl>
  </w:abstractNum>
  <w:abstractNum w:abstractNumId="136">
    <w:nsid w:val="3E6400E6"/>
    <w:multiLevelType w:val="hybridMultilevel"/>
    <w:lvl w:ilvl="0">
      <w:lvlJc w:val="left"/>
      <w:lvlText w:val="(%1)"/>
      <w:numFmt w:val="lowerLetter"/>
      <w:start w:val="1"/>
    </w:lvl>
  </w:abstractNum>
  <w:abstractNum w:abstractNumId="137">
    <w:nsid w:val="14217E23"/>
    <w:multiLevelType w:val="hybridMultilevel"/>
    <w:lvl w:ilvl="0">
      <w:lvlJc w:val="left"/>
      <w:lvlText w:val="(%1)"/>
      <w:numFmt w:val="lowerLetter"/>
      <w:start w:val="3"/>
    </w:lvl>
  </w:abstractNum>
  <w:abstractNum w:abstractNumId="138">
    <w:nsid w:val="710757D0"/>
    <w:multiLevelType w:val="hybridMultilevel"/>
    <w:lvl w:ilvl="0">
      <w:lvlJc w:val="left"/>
      <w:lvlText w:val="(%1)"/>
      <w:numFmt w:val="lowerLetter"/>
      <w:start w:val="1"/>
    </w:lvl>
  </w:abstractNum>
  <w:abstractNum w:abstractNumId="139">
    <w:nsid w:val="5015CD1A"/>
    <w:multiLevelType w:val="hybridMultilevel"/>
    <w:lvl w:ilvl="0">
      <w:lvlJc w:val="left"/>
      <w:lvlText w:val="(%1)"/>
      <w:numFmt w:val="lowerLetter"/>
      <w:start w:val="1"/>
    </w:lvl>
  </w:abstractNum>
  <w:abstractNum w:abstractNumId="140">
    <w:nsid w:val="424479DA"/>
    <w:multiLevelType w:val="hybridMultilevel"/>
    <w:lvl w:ilvl="0">
      <w:lvlJc w:val="left"/>
      <w:lvlText w:val="(%1)"/>
      <w:numFmt w:val="lowerLetter"/>
      <w:start w:val="1"/>
    </w:lvl>
    <w:lvl w:ilvl="1">
      <w:lvlJc w:val="left"/>
      <w:lvlText w:val="(%2)"/>
      <w:numFmt w:val="lowerRoman"/>
      <w:start w:val="1"/>
    </w:lvl>
  </w:abstractNum>
  <w:abstractNum w:abstractNumId="141">
    <w:nsid w:val="1A9A9E69"/>
    <w:multiLevelType w:val="hybridMultilevel"/>
    <w:lvl w:ilvl="0">
      <w:lvlJc w:val="left"/>
      <w:lvlText w:val="(%1)"/>
      <w:numFmt w:val="lowerLetter"/>
      <w:start w:val="1"/>
    </w:lvl>
  </w:abstractNum>
  <w:abstractNum w:abstractNumId="142">
    <w:nsid w:val="475E256A"/>
    <w:multiLevelType w:val="hybridMultilevel"/>
    <w:lvl w:ilvl="0">
      <w:lvlJc w:val="left"/>
      <w:lvlText w:val="(%1)"/>
      <w:numFmt w:val="lowerLetter"/>
      <w:start w:val="1"/>
    </w:lvl>
  </w:abstractNum>
  <w:abstractNum w:abstractNumId="143">
    <w:nsid w:val="368DB37E"/>
    <w:multiLevelType w:val="hybridMultilevel"/>
    <w:lvl w:ilvl="0">
      <w:lvlJc w:val="left"/>
      <w:lvlText w:val="(%1)"/>
      <w:numFmt w:val="lowerLetter"/>
      <w:start w:val="1"/>
    </w:lvl>
  </w:abstractNum>
  <w:abstractNum w:abstractNumId="144">
    <w:nsid w:val="6A3B714C"/>
    <w:multiLevelType w:val="hybridMultilevel"/>
    <w:lvl w:ilvl="0">
      <w:lvlJc w:val="left"/>
      <w:lvlText w:val="(%1)"/>
      <w:numFmt w:val="lowerRoman"/>
      <w:start w:val="2"/>
    </w:lvl>
  </w:abstractNum>
  <w:abstractNum w:abstractNumId="145">
    <w:nsid w:val="327B517E"/>
    <w:multiLevelType w:val="hybridMultilevel"/>
    <w:lvl w:ilvl="0">
      <w:lvlJc w:val="left"/>
      <w:lvlText w:val="(%1)"/>
      <w:numFmt w:val="lowerLetter"/>
      <w:start w:val="1"/>
    </w:lvl>
  </w:abstractNum>
  <w:abstractNum w:abstractNumId="146">
    <w:nsid w:val="1F461B51"/>
    <w:multiLevelType w:val="hybridMultilevel"/>
    <w:lvl w:ilvl="0">
      <w:lvlJc w:val="left"/>
      <w:lvlText w:val="(%1)"/>
      <w:numFmt w:val="lowerLetter"/>
      <w:start w:val="2"/>
    </w:lvl>
  </w:abstractNum>
  <w:abstractNum w:abstractNumId="147">
    <w:nsid w:val="29BACF25"/>
    <w:multiLevelType w:val="hybridMultilevel"/>
    <w:lvl w:ilvl="0">
      <w:lvlJc w:val="left"/>
      <w:lvlText w:val="%1"/>
      <w:numFmt w:val="lowerLetter"/>
      <w:start w:val="1"/>
    </w:lvl>
    <w:lvl w:ilvl="1">
      <w:lvlJc w:val="left"/>
      <w:lvlText w:val="(%2)"/>
      <w:numFmt w:val="lowerLetter"/>
      <w:start w:val="7"/>
    </w:lvl>
  </w:abstractNum>
  <w:abstractNum w:abstractNumId="148">
    <w:nsid w:val="5D5BABB3"/>
    <w:multiLevelType w:val="hybridMultilevel"/>
    <w:lvl w:ilvl="0">
      <w:lvlJc w:val="left"/>
      <w:lvlText w:val="(%1)"/>
      <w:numFmt w:val="lowerLetter"/>
      <w:start w:val="9"/>
    </w:lvl>
    <w:lvl w:ilvl="1">
      <w:lvlJc w:val="left"/>
      <w:lvlText w:val="(%2)"/>
      <w:numFmt w:val="lowerLetter"/>
      <w:start w:val="9"/>
    </w:lvl>
  </w:abstractNum>
  <w:abstractNum w:abstractNumId="149">
    <w:nsid w:val="51BF6B48"/>
    <w:multiLevelType w:val="hybridMultilevel"/>
    <w:lvl w:ilvl="0">
      <w:lvlJc w:val="left"/>
      <w:lvlText w:val="(%1)"/>
      <w:numFmt w:val="lowerLetter"/>
      <w:start w:val="15"/>
    </w:lvl>
  </w:abstractNum>
  <w:abstractNum w:abstractNumId="150">
    <w:nsid w:val="7E0F6384"/>
    <w:multiLevelType w:val="hybridMultilevel"/>
    <w:lvl w:ilvl="0">
      <w:lvlJc w:val="left"/>
      <w:lvlText w:val="(%1)"/>
      <w:numFmt w:val="lowerLetter"/>
      <w:start w:val="1"/>
    </w:lvl>
  </w:abstractNum>
  <w:abstractNum w:abstractNumId="151">
    <w:nsid w:val="2B4B8B53"/>
    <w:multiLevelType w:val="hybridMultilevel"/>
    <w:lvl w:ilvl="0">
      <w:lvlJc w:val="left"/>
      <w:lvlText w:val="(%1)"/>
      <w:numFmt w:val="lowerLetter"/>
      <w:start w:val="5"/>
    </w:lvl>
  </w:abstractNum>
  <w:abstractNum w:abstractNumId="152">
    <w:nsid w:val="72E3413A"/>
    <w:multiLevelType w:val="hybridMultilevel"/>
    <w:lvl w:ilvl="0">
      <w:lvlJc w:val="left"/>
      <w:lvlText w:val="(%1)"/>
      <w:numFmt w:val="lowerLetter"/>
      <w:start w:val="10"/>
    </w:lvl>
  </w:abstractNum>
  <w:abstractNum w:abstractNumId="153">
    <w:nsid w:val="116AE494"/>
    <w:multiLevelType w:val="hybridMultilevel"/>
    <w:lvl w:ilvl="0">
      <w:lvlJc w:val="left"/>
      <w:lvlText w:val="(%1)"/>
      <w:numFmt w:val="lowerLetter"/>
      <w:start w:val="1"/>
    </w:lvl>
  </w:abstractNum>
  <w:abstractNum w:abstractNumId="154">
    <w:nsid w:val="3494B2FB"/>
    <w:multiLevelType w:val="hybridMultilevel"/>
    <w:lvl w:ilvl="0">
      <w:lvlJc w:val="left"/>
      <w:lvlText w:val="(%1)"/>
      <w:numFmt w:val="lowerLetter"/>
      <w:start w:val="1"/>
    </w:lvl>
  </w:abstractNum>
  <w:abstractNum w:abstractNumId="155">
    <w:nsid w:val="B13A31"/>
    <w:multiLevelType w:val="hybridMultilevel"/>
    <w:lvl w:ilvl="0">
      <w:lvlJc w:val="left"/>
      <w:lvlText w:val="(%1)"/>
      <w:numFmt w:val="lowerLetter"/>
      <w:start w:val="9"/>
    </w:lvl>
  </w:abstractNum>
  <w:abstractNum w:abstractNumId="156">
    <w:nsid w:val="64429599"/>
    <w:multiLevelType w:val="hybridMultilevel"/>
    <w:lvl w:ilvl="0">
      <w:lvlJc w:val="left"/>
      <w:lvlText w:val="(%1)"/>
      <w:numFmt w:val="lowerLetter"/>
      <w:start w:val="21"/>
    </w:lvl>
  </w:abstractNum>
  <w:abstractNum w:abstractNumId="157">
    <w:nsid w:val="631F1690"/>
    <w:multiLevelType w:val="hybridMultilevel"/>
    <w:lvl w:ilvl="0">
      <w:lvlJc w:val="left"/>
      <w:lvlText w:val="(%1)"/>
      <w:numFmt w:val="lowerLetter"/>
      <w:start w:val="1"/>
    </w:lvl>
  </w:abstractNum>
  <w:abstractNum w:abstractNumId="158">
    <w:nsid w:val="25973E32"/>
    <w:multiLevelType w:val="hybridMultilevel"/>
    <w:lvl w:ilvl="0">
      <w:lvlJc w:val="left"/>
      <w:lvlText w:val="(%1)"/>
      <w:numFmt w:val="lowerLetter"/>
      <w:start w:val="6"/>
    </w:lvl>
  </w:abstractNum>
  <w:abstractNum w:abstractNumId="159">
    <w:nsid w:val="EAD6F57"/>
    <w:multiLevelType w:val="hybridMultilevel"/>
    <w:lvl w:ilvl="0">
      <w:lvlJc w:val="left"/>
      <w:lvlText w:val="(%1)"/>
      <w:numFmt w:val="lowerLetter"/>
      <w:start w:val="1"/>
    </w:lvl>
    <w:lvl w:ilvl="1">
      <w:lvlJc w:val="left"/>
      <w:lvlText w:val="(%2)"/>
      <w:numFmt w:val="lowerRoman"/>
      <w:start w:val="1"/>
    </w:lvl>
  </w:abstractNum>
  <w:abstractNum w:abstractNumId="160">
    <w:nsid w:val="6EC9D844"/>
    <w:multiLevelType w:val="hybridMultilevel"/>
    <w:lvl w:ilvl="0">
      <w:lvlJc w:val="left"/>
      <w:lvlText w:val="%1"/>
      <w:numFmt w:val="lowerLetter"/>
      <w:start w:val="1"/>
    </w:lvl>
    <w:lvl w:ilvl="1">
      <w:lvlJc w:val="left"/>
      <w:lvlText w:val="(%2)"/>
      <w:numFmt w:val="lowerRoman"/>
      <w:start w:val="6"/>
    </w:lvl>
  </w:abstractNum>
  <w:abstractNum w:abstractNumId="161">
    <w:nsid w:val="5C49EAEE"/>
    <w:multiLevelType w:val="hybridMultilevel"/>
    <w:lvl w:ilvl="0">
      <w:lvlJc w:val="left"/>
      <w:lvlText w:val="(%1)"/>
      <w:numFmt w:val="lowerLetter"/>
      <w:start w:val="2"/>
    </w:lvl>
    <w:lvl w:ilvl="1">
      <w:lvlJc w:val="left"/>
      <w:lvlText w:val="(%2)"/>
      <w:numFmt w:val="lowerRoman"/>
      <w:start w:val="1"/>
    </w:lvl>
  </w:abstractNum>
  <w:abstractNum w:abstractNumId="162">
    <w:nsid w:val="64AF49B"/>
    <w:multiLevelType w:val="hybridMultilevel"/>
    <w:lvl w:ilvl="0">
      <w:lvlJc w:val="left"/>
      <w:lvlText w:val="(%1)"/>
      <w:numFmt w:val="lowerRoman"/>
      <w:start w:val="2"/>
    </w:lvl>
  </w:abstractNum>
  <w:abstractNum w:abstractNumId="163">
    <w:nsid w:val="397C46BC"/>
    <w:multiLevelType w:val="hybridMultilevel"/>
    <w:lvl w:ilvl="0">
      <w:lvlJc w:val="left"/>
      <w:lvlText w:val="(%1)"/>
      <w:numFmt w:val="upperLetter"/>
      <w:start w:val="1"/>
    </w:lvl>
  </w:abstractNum>
  <w:abstractNum w:abstractNumId="164">
    <w:nsid w:val="7E448DE9"/>
    <w:multiLevelType w:val="hybridMultilevel"/>
    <w:lvl w:ilvl="0">
      <w:lvlJc w:val="left"/>
      <w:lvlText w:val="(%1)"/>
      <w:numFmt w:val="lowerLetter"/>
      <w:start w:val="1"/>
    </w:lvl>
  </w:abstractNum>
  <w:abstractNum w:abstractNumId="165">
    <w:nsid w:val="5A9CC3E5"/>
    <w:multiLevelType w:val="hybridMultilevel"/>
    <w:lvl w:ilvl="0">
      <w:lvlJc w:val="left"/>
      <w:lvlText w:val="(%1)"/>
      <w:numFmt w:val="lowerLetter"/>
      <w:start w:val="5"/>
    </w:lvl>
  </w:abstractNum>
  <w:abstractNum w:abstractNumId="166">
    <w:nsid w:val="1AFE3625"/>
    <w:multiLevelType w:val="hybridMultilevel"/>
    <w:lvl w:ilvl="0">
      <w:lvlJc w:val="left"/>
      <w:lvlText w:val="(%1)"/>
      <w:numFmt w:val="lowerLetter"/>
      <w:start w:val="10"/>
    </w:lvl>
  </w:abstractNum>
  <w:abstractNum w:abstractNumId="167">
    <w:nsid w:val="3CA88ECF"/>
    <w:multiLevelType w:val="hybridMultilevel"/>
    <w:lvl w:ilvl="0">
      <w:lvlJc w:val="left"/>
      <w:lvlText w:val="(%1)"/>
      <w:numFmt w:val="lowerRoman"/>
      <w:start w:val="1"/>
    </w:lvl>
  </w:abstractNum>
  <w:abstractNum w:abstractNumId="168">
    <w:nsid w:val="6EBE4208"/>
    <w:multiLevelType w:val="hybridMultilevel"/>
    <w:lvl w:ilvl="0">
      <w:lvlJc w:val="left"/>
      <w:lvlText w:val="(%1)"/>
      <w:numFmt w:val="lowerLetter"/>
      <w:start w:val="1"/>
    </w:lvl>
  </w:abstractNum>
  <w:abstractNum w:abstractNumId="169">
    <w:nsid w:val="C058DF5"/>
    <w:multiLevelType w:val="hybridMultilevel"/>
    <w:lvl w:ilvl="0">
      <w:lvlJc w:val="left"/>
      <w:lvlText w:val="(%1)"/>
      <w:numFmt w:val="lowerLetter"/>
      <w:start w:val="3"/>
    </w:lvl>
  </w:abstractNum>
  <w:abstractNum w:abstractNumId="170">
    <w:nsid w:val="CBE5BE9"/>
    <w:multiLevelType w:val="hybridMultilevel"/>
    <w:lvl w:ilvl="0">
      <w:lvlJc w:val="left"/>
      <w:lvlText w:val="(%1)"/>
      <w:numFmt w:val="lowerLetter"/>
      <w:start w:val="5"/>
    </w:lvl>
  </w:abstractNum>
  <w:abstractNum w:abstractNumId="171">
    <w:nsid w:val="3102BBE2"/>
    <w:multiLevelType w:val="hybridMultilevel"/>
    <w:lvl w:ilvl="0">
      <w:lvlJc w:val="left"/>
      <w:lvlText w:val="(%1)"/>
      <w:numFmt w:val="lowerLetter"/>
      <w:start w:val="7"/>
    </w:lvl>
  </w:abstractNum>
  <w:abstractNum w:abstractNumId="172">
    <w:nsid w:val="26A02C5E"/>
    <w:multiLevelType w:val="hybridMultilevel"/>
    <w:lvl w:ilvl="0">
      <w:lvlJc w:val="left"/>
      <w:lvlText w:val="(%1)"/>
      <w:numFmt w:val="lowerLetter"/>
      <w:start w:val="9"/>
    </w:lvl>
  </w:abstractNum>
  <w:abstractNum w:abstractNumId="173">
    <w:nsid w:val="541C8153"/>
    <w:multiLevelType w:val="hybridMultilevel"/>
    <w:lvl w:ilvl="0">
      <w:lvlJc w:val="left"/>
      <w:lvlText w:val="(%1)"/>
      <w:numFmt w:val="lowerLetter"/>
      <w:start w:val="11"/>
    </w:lvl>
  </w:abstractNum>
  <w:abstractNum w:abstractNumId="174">
    <w:nsid w:val="67906F60"/>
    <w:multiLevelType w:val="hybridMultilevel"/>
    <w:lvl w:ilvl="0">
      <w:lvlJc w:val="left"/>
      <w:lvlText w:val="(%1)"/>
      <w:numFmt w:val="upperLetter"/>
      <w:start w:val="2"/>
    </w:lvl>
    <w:lvl w:ilvl="1">
      <w:lvlJc w:val="left"/>
      <w:lvlText w:val="(%2)"/>
      <w:numFmt w:val="lowerLetter"/>
      <w:start w:val="13"/>
    </w:lvl>
    <w:lvl w:ilvl="2">
      <w:lvlJc w:val="left"/>
      <w:lvlText w:val="(%3)"/>
      <w:numFmt w:val="lowerLetter"/>
      <w:start w:val="9"/>
    </w:lvl>
  </w:abstractNum>
  <w:abstractNum w:abstractNumId="175">
    <w:nsid w:val="10DB9DAA"/>
    <w:multiLevelType w:val="hybridMultilevel"/>
    <w:lvl w:ilvl="0">
      <w:lvlJc w:val="left"/>
      <w:lvlText w:val="(%1)"/>
      <w:numFmt w:val="lowerRoman"/>
      <w:start w:val="2"/>
    </w:lvl>
  </w:abstractNum>
  <w:abstractNum w:abstractNumId="176">
    <w:nsid w:val="697D2D2"/>
    <w:multiLevelType w:val="hybridMultilevel"/>
    <w:lvl w:ilvl="0">
      <w:lvlJc w:val="left"/>
      <w:lvlText w:val="(%1)"/>
      <w:numFmt w:val="lowerLetter"/>
      <w:start w:val="14"/>
    </w:lvl>
  </w:abstractNum>
  <w:abstractNum w:abstractNumId="177">
    <w:nsid w:val="6D68AB2"/>
    <w:multiLevelType w:val="hybridMultilevel"/>
    <w:lvl w:ilvl="0">
      <w:lvlJc w:val="left"/>
      <w:lvlText w:val="(%1)"/>
      <w:numFmt w:val="lowerLetter"/>
      <w:start w:val="17"/>
    </w:lvl>
    <w:lvl w:ilvl="1">
      <w:lvlJc w:val="left"/>
      <w:lvlText w:val="(%2)"/>
      <w:numFmt w:val="lowerLetter"/>
      <w:start w:val="35"/>
    </w:lvl>
  </w:abstractNum>
  <w:abstractNum w:abstractNumId="178">
    <w:nsid w:val="3A966CD0"/>
    <w:multiLevelType w:val="hybridMultilevel"/>
    <w:lvl w:ilvl="0">
      <w:lvlJc w:val="left"/>
      <w:lvlText w:val="(%1)"/>
      <w:numFmt w:val="lowerRoman"/>
      <w:start w:val="3"/>
    </w:lvl>
  </w:abstractNum>
  <w:abstractNum w:abstractNumId="179">
    <w:nsid w:val="63F37E85"/>
    <w:multiLevelType w:val="hybridMultilevel"/>
    <w:lvl w:ilvl="0">
      <w:lvlJc w:val="left"/>
      <w:lvlText w:val="(%1)"/>
      <w:numFmt w:val="lowerLetter"/>
      <w:start w:val="1"/>
    </w:lvl>
    <w:lvl w:ilvl="1">
      <w:lvlJc w:val="left"/>
      <w:lvlText w:val="(%2)"/>
      <w:numFmt w:val="lowerRoman"/>
      <w:start w:val="1"/>
    </w:lvl>
  </w:abstractNum>
  <w:abstractNum w:abstractNumId="180">
    <w:nsid w:val="5895F5FA"/>
    <w:multiLevelType w:val="hybridMultilevel"/>
    <w:lvl w:ilvl="0">
      <w:lvlJc w:val="left"/>
      <w:lvlText w:val="%1"/>
      <w:numFmt w:val="lowerLetter"/>
      <w:start w:val="1"/>
    </w:lvl>
    <w:lvl w:ilvl="1">
      <w:lvlJc w:val="left"/>
      <w:lvlText w:val="(%2)"/>
      <w:numFmt w:val="lowerRoman"/>
      <w:start w:val="4"/>
    </w:lvl>
  </w:abstractNum>
  <w:abstractNum w:abstractNumId="181">
    <w:nsid w:val="38A5D054"/>
    <w:multiLevelType w:val="hybridMultilevel"/>
    <w:lvl w:ilvl="0">
      <w:lvlJc w:val="left"/>
      <w:lvlText w:val="(%1)"/>
      <w:numFmt w:val="lowerLetter"/>
      <w:start w:val="2"/>
    </w:lvl>
    <w:lvl w:ilvl="1">
      <w:lvlJc w:val="left"/>
      <w:lvlText w:val="%2"/>
      <w:numFmt w:val="lowerRoman"/>
      <w:start w:val="1"/>
    </w:lvl>
  </w:abstractNum>
  <w:abstractNum w:abstractNumId="182">
    <w:nsid w:val="F3F09D8"/>
    <w:multiLevelType w:val="hybridMultilevel"/>
    <w:lvl w:ilvl="0">
      <w:lvlJc w:val="left"/>
      <w:lvlText w:val="(%1)"/>
      <w:numFmt w:val="lowerLetter"/>
      <w:start w:val="1"/>
    </w:lvl>
    <w:lvl w:ilvl="1">
      <w:lvlJc w:val="left"/>
      <w:lvlText w:val="(%2)"/>
      <w:numFmt w:val="lowerRoman"/>
      <w:start w:val="1"/>
    </w:lvl>
  </w:abstractNum>
  <w:abstractNum w:abstractNumId="183">
    <w:nsid w:val="4B793735"/>
    <w:multiLevelType w:val="hybridMultilevel"/>
    <w:lvl w:ilvl="0">
      <w:lvlJc w:val="left"/>
      <w:lvlText w:val="(%1)"/>
      <w:numFmt w:val="lowerRoman"/>
      <w:start w:val="3"/>
    </w:lvl>
  </w:abstractNum>
  <w:abstractNum w:abstractNumId="184">
    <w:nsid w:val="4A10B4E8"/>
    <w:multiLevelType w:val="hybridMultilevel"/>
    <w:lvl w:ilvl="0">
      <w:lvlJc w:val="left"/>
      <w:lvlText w:val="(%1)"/>
      <w:numFmt w:val="lowerLetter"/>
      <w:start w:val="2"/>
    </w:lvl>
  </w:abstractNum>
  <w:abstractNum w:abstractNumId="185">
    <w:nsid w:val="43D3BCD4"/>
    <w:multiLevelType w:val="hybridMultilevel"/>
    <w:lvl w:ilvl="0">
      <w:lvlJc w:val="left"/>
      <w:lvlText w:val="(%1)"/>
      <w:numFmt w:val="lowerLetter"/>
      <w:start w:val="3"/>
    </w:lvl>
  </w:abstractNum>
  <w:abstractNum w:abstractNumId="186">
    <w:nsid w:val="4C2A7166"/>
    <w:multiLevelType w:val="hybridMultilevel"/>
    <w:lvl w:ilvl="0">
      <w:lvlJc w:val="left"/>
      <w:lvlText w:val="(%1)"/>
      <w:numFmt w:val="lowerLetter"/>
      <w:start w:val="1"/>
    </w:lvl>
  </w:abstractNum>
  <w:abstractNum w:abstractNumId="187">
    <w:nsid w:val="2E534A82"/>
    <w:multiLevelType w:val="hybridMultilevel"/>
    <w:lvl w:ilvl="0">
      <w:lvlJc w:val="left"/>
      <w:lvlText w:val="%1"/>
      <w:numFmt w:val="lowerRoman"/>
      <w:start w:val="1"/>
    </w:lvl>
    <w:lvl w:ilvl="1">
      <w:lvlJc w:val="left"/>
      <w:lvlText w:val="(%2)"/>
      <w:numFmt w:val="lowerLetter"/>
      <w:start w:val="2"/>
    </w:lvl>
  </w:abstractNum>
  <w:abstractNum w:abstractNumId="188">
    <w:nsid w:val="26F2D364"/>
    <w:multiLevelType w:val="hybridMultilevel"/>
    <w:lvl w:ilvl="0">
      <w:lvlJc w:val="left"/>
      <w:lvlText w:val="(%1)"/>
      <w:numFmt w:val="lowerRoman"/>
      <w:start w:val="6"/>
    </w:lvl>
    <w:lvl w:ilvl="1">
      <w:lvlJc w:val="left"/>
      <w:lvlText w:val="%2"/>
      <w:numFmt w:val="lowerLetter"/>
      <w:start w:val="1"/>
    </w:lvl>
  </w:abstractNum>
  <w:abstractNum w:abstractNumId="189">
    <w:nsid w:val="71C1AF98"/>
    <w:multiLevelType w:val="hybridMultilevel"/>
    <w:lvl w:ilvl="0">
      <w:lvlJc w:val="left"/>
      <w:lvlText w:val="(%1)"/>
      <w:numFmt w:val="lowerLetter"/>
      <w:start w:val="3"/>
    </w:lvl>
  </w:abstractNum>
  <w:abstractNum w:abstractNumId="190">
    <w:nsid w:val="3D00B9D9"/>
    <w:multiLevelType w:val="hybridMultilevel"/>
    <w:lvl w:ilvl="0">
      <w:lvlJc w:val="left"/>
      <w:lvlText w:val="(%1)"/>
      <w:numFmt w:val="lowerLetter"/>
      <w:start w:val="5"/>
    </w:lvl>
  </w:abstractNum>
  <w:abstractNum w:abstractNumId="191">
    <w:nsid w:val="15BCABA8"/>
    <w:multiLevelType w:val="hybridMultilevel"/>
    <w:lvl w:ilvl="0">
      <w:lvlJc w:val="left"/>
      <w:lvlText w:val="(%1)"/>
      <w:numFmt w:val="lowerLetter"/>
      <w:start w:val="1"/>
    </w:lvl>
  </w:abstractNum>
  <w:abstractNum w:abstractNumId="192">
    <w:nsid w:val="4E0B9A87"/>
    <w:multiLevelType w:val="hybridMultilevel"/>
    <w:lvl w:ilvl="0">
      <w:lvlJc w:val="left"/>
      <w:lvlText w:val="(%1)"/>
      <w:numFmt w:val="lowerLetter"/>
      <w:start w:val="3"/>
    </w:lvl>
  </w:abstractNum>
  <w:abstractNum w:abstractNumId="193">
    <w:nsid w:val="434BAE75"/>
    <w:multiLevelType w:val="hybridMultilevel"/>
    <w:lvl w:ilvl="0">
      <w:lvlJc w:val="left"/>
      <w:lvlText w:val="(%1)"/>
      <w:numFmt w:val="lowerLetter"/>
      <w:start w:val="4"/>
    </w:lvl>
  </w:abstractNum>
  <w:abstractNum w:abstractNumId="194">
    <w:nsid w:val="4F38F265"/>
    <w:multiLevelType w:val="hybridMultilevel"/>
    <w:lvl w:ilvl="0">
      <w:lvlJc w:val="left"/>
      <w:lvlText w:val="(%1)"/>
      <w:numFmt w:val="lowerLetter"/>
      <w:start w:val="1"/>
    </w:lvl>
  </w:abstractNum>
  <w:abstractNum w:abstractNumId="195">
    <w:nsid w:val="4C502870"/>
    <w:multiLevelType w:val="hybridMultilevel"/>
    <w:lvl w:ilvl="0">
      <w:lvlJc w:val="left"/>
      <w:lvlText w:val="(%1)"/>
      <w:numFmt w:val="lowerLetter"/>
      <w:start w:val="2"/>
    </w:lvl>
    <w:lvl w:ilvl="1">
      <w:lvlJc w:val="left"/>
      <w:lvlText w:val="(%2)"/>
      <w:numFmt w:val="lowerLetter"/>
      <w:start w:val="35"/>
    </w:lvl>
  </w:abstractNum>
  <w:abstractNum w:abstractNumId="196">
    <w:nsid w:val="1DE8725A"/>
    <w:multiLevelType w:val="hybridMultilevel"/>
    <w:lvl w:ilvl="0">
      <w:lvlJc w:val="left"/>
      <w:lvlText w:val="(%1)"/>
      <w:numFmt w:val="lowerRoman"/>
      <w:start w:val="3"/>
    </w:lvl>
  </w:abstractNum>
  <w:abstractNum w:abstractNumId="197">
    <w:nsid w:val="6A37288A"/>
    <w:multiLevelType w:val="hybridMultilevel"/>
    <w:lvl w:ilvl="0">
      <w:lvlJc w:val="left"/>
      <w:lvlText w:val="(%1)"/>
      <w:numFmt w:val="lowerRoman"/>
      <w:start w:val="7"/>
    </w:lvl>
  </w:abstractNum>
  <w:abstractNum w:abstractNumId="198">
    <w:nsid w:val="8F8B73F"/>
    <w:multiLevelType w:val="hybridMultilevel"/>
    <w:lvl w:ilvl="0">
      <w:lvlJc w:val="left"/>
      <w:lvlText w:val="%1"/>
      <w:numFmt w:val="lowerLetter"/>
      <w:start w:val="1"/>
    </w:lvl>
    <w:lvl w:ilvl="1">
      <w:lvlJc w:val="left"/>
      <w:lvlText w:val="(%2)"/>
      <w:numFmt w:val="lowerLetter"/>
      <w:start w:val="24"/>
    </w:lvl>
  </w:abstractNum>
  <w:abstractNum w:abstractNumId="199">
    <w:nsid w:val="CA6B462"/>
    <w:multiLevelType w:val="hybridMultilevel"/>
    <w:lvl w:ilvl="0">
      <w:lvlJc w:val="left"/>
      <w:lvlText w:val="(%1)"/>
      <w:numFmt w:val="lowerLetter"/>
      <w:start w:val="3"/>
    </w:lvl>
    <w:lvl w:ilvl="1">
      <w:lvlJc w:val="left"/>
      <w:lvlText w:val="%2"/>
      <w:numFmt w:val="lowerLetter"/>
      <w:start w:val="1"/>
    </w:lvl>
  </w:abstractNum>
  <w:abstractNum w:abstractNumId="200">
    <w:nsid w:val="763CB680"/>
    <w:multiLevelType w:val="hybridMultilevel"/>
    <w:lvl w:ilvl="0">
      <w:lvlJc w:val="left"/>
      <w:lvlText w:val="(%1)"/>
      <w:numFmt w:val="lowerLetter"/>
      <w:start w:val="4"/>
    </w:lvl>
  </w:abstractNum>
  <w:abstractNum w:abstractNumId="201">
    <w:nsid w:val="15B71329"/>
    <w:multiLevelType w:val="hybridMultilevel"/>
    <w:lvl w:ilvl="0">
      <w:lvlJc w:val="left"/>
      <w:lvlText w:val="%1"/>
      <w:numFmt w:val="lowerLetter"/>
      <w:start w:val="1"/>
    </w:lvl>
    <w:lvl w:ilvl="1">
      <w:lvlJc w:val="left"/>
      <w:lvlText w:val="(%2)"/>
      <w:numFmt w:val="lowerLetter"/>
      <w:start w:val="1"/>
    </w:lvl>
  </w:abstractNum>
  <w:abstractNum w:abstractNumId="202">
    <w:nsid w:val="3DA97044"/>
    <w:multiLevelType w:val="hybridMultilevel"/>
    <w:lvl w:ilvl="0">
      <w:lvlJc w:val="left"/>
      <w:lvlText w:val="(%1)"/>
      <w:numFmt w:val="lowerLetter"/>
      <w:start w:val="26"/>
    </w:lvl>
    <w:lvl w:ilvl="1">
      <w:lvlJc w:val="left"/>
      <w:lvlText w:val="%2"/>
      <w:numFmt w:val="lowerLetter"/>
      <w:start w:val="1"/>
    </w:lvl>
  </w:abstractNum>
  <w:abstractNum w:abstractNumId="203">
    <w:nsid w:val="1CDCE2DE"/>
    <w:multiLevelType w:val="hybridMultilevel"/>
    <w:lvl w:ilvl="0">
      <w:lvlJc w:val="left"/>
      <w:lvlText w:val="(%1)"/>
      <w:numFmt w:val="lowerLetter"/>
      <w:start w:val="1"/>
    </w:lvl>
  </w:abstractNum>
  <w:abstractNum w:abstractNumId="204">
    <w:nsid w:val="69D3947C"/>
    <w:multiLevelType w:val="hybridMultilevel"/>
    <w:lvl w:ilvl="0">
      <w:lvlJc w:val="left"/>
      <w:lvlText w:val="(%1)"/>
      <w:numFmt w:val="lowerLetter"/>
      <w:start w:val="4"/>
    </w:lvl>
  </w:abstractNum>
  <w:abstractNum w:abstractNumId="205">
    <w:nsid w:val="2539DFA5"/>
    <w:multiLevelType w:val="hybridMultilevel"/>
    <w:lvl w:ilvl="0">
      <w:lvlJc w:val="left"/>
      <w:lvlText w:val="(%1)"/>
      <w:numFmt w:val="lowerLetter"/>
      <w:start w:val="1"/>
    </w:lvl>
  </w:abstractNum>
  <w:abstractNum w:abstractNumId="206">
    <w:nsid w:val="2DB88089"/>
    <w:multiLevelType w:val="hybridMultilevel"/>
    <w:lvl w:ilvl="0">
      <w:lvlJc w:val="left"/>
      <w:lvlText w:val="(%1)"/>
      <w:numFmt w:val="lowerRoman"/>
      <w:start w:val="2"/>
    </w:lvl>
  </w:abstractNum>
  <w:abstractNum w:abstractNumId="207">
    <w:nsid w:val="706B674E"/>
    <w:multiLevelType w:val="hybridMultilevel"/>
    <w:lvl w:ilvl="0">
      <w:lvlJc w:val="left"/>
      <w:lvlText w:val="(%1)"/>
      <w:numFmt w:val="lowerLetter"/>
      <w:start w:val="1"/>
    </w:lvl>
    <w:lvl w:ilvl="1">
      <w:lvlJc w:val="left"/>
      <w:lvlText w:val="(%2)"/>
      <w:numFmt w:val="lowerRoman"/>
      <w:start w:val="1"/>
    </w:lvl>
  </w:abstractNum>
  <w:abstractNum w:abstractNumId="208">
    <w:nsid w:val="2C106A57"/>
    <w:multiLevelType w:val="hybridMultilevel"/>
    <w:lvl w:ilvl="0">
      <w:lvlJc w:val="left"/>
      <w:lvlText w:val="(%1)"/>
      <w:numFmt w:val="lowerLetter"/>
      <w:start w:val="1"/>
    </w:lvl>
  </w:abstractNum>
  <w:abstractNum w:abstractNumId="209">
    <w:nsid w:val="684EED59"/>
    <w:multiLevelType w:val="hybridMultilevel"/>
    <w:lvl w:ilvl="0">
      <w:lvlJc w:val="left"/>
      <w:lvlText w:val="(%1)"/>
      <w:numFmt w:val="decimal"/>
      <w:start w:val="1"/>
    </w:lvl>
  </w:abstractNum>
  <w:abstractNum w:abstractNumId="210">
    <w:nsid w:val="545EE5D3"/>
    <w:multiLevelType w:val="hybridMultilevel"/>
    <w:lvl w:ilvl="0">
      <w:lvlJc w:val="left"/>
      <w:lvlText w:val="%1."/>
      <w:numFmt w:val="upperLetter"/>
      <w:start w:val="1"/>
    </w:lvl>
  </w:abstractNum>
  <w:abstractNum w:abstractNumId="211">
    <w:nsid w:val="4A66051"/>
    <w:multiLevelType w:val="hybridMultilevel"/>
    <w:lvl w:ilvl="0">
      <w:lvlJc w:val="left"/>
      <w:lvlText w:val="(%1)"/>
      <w:numFmt w:val="lowerLetter"/>
      <w:start w:val="1"/>
    </w:lvl>
  </w:abstractNum>
  <w:abstractNum w:abstractNumId="212">
    <w:nsid w:val="20F4BDAD"/>
    <w:multiLevelType w:val="hybridMultilevel"/>
    <w:lvl w:ilvl="0">
      <w:lvlJc w:val="left"/>
      <w:lvlText w:val="(%1)"/>
      <w:numFmt w:val="lowerLetter"/>
      <w:start w:val="1"/>
    </w:lvl>
  </w:abstractNum>
  <w:abstractNum w:abstractNumId="213">
    <w:nsid w:val="639DEFAC"/>
    <w:multiLevelType w:val="hybridMultilevel"/>
    <w:lvl w:ilvl="0">
      <w:lvlJc w:val="left"/>
      <w:lvlText w:val="(%1)"/>
      <w:numFmt w:val="lowerLetter"/>
      <w:start w:val="3"/>
    </w:lvl>
  </w:abstractNum>
  <w:abstractNum w:abstractNumId="214">
    <w:nsid w:val="501F9786"/>
    <w:multiLevelType w:val="hybridMultilevel"/>
    <w:lvl w:ilvl="0">
      <w:lvlJc w:val="left"/>
      <w:lvlText w:val="%1."/>
      <w:numFmt w:val="decimal"/>
      <w:start w:val="1"/>
    </w:lvl>
    <w:lvl w:ilvl="1">
      <w:lvlJc w:val="left"/>
      <w:lvlText w:val="(%2)"/>
      <w:numFmt w:val="lowerLetter"/>
      <w:start w:val="1"/>
    </w:lvl>
  </w:abstractNum>
  <w:abstractNum w:abstractNumId="215">
    <w:nsid w:val="6B057295"/>
    <w:multiLevelType w:val="hybridMultilevel"/>
    <w:lvl w:ilvl="0">
      <w:lvlJc w:val="left"/>
      <w:lvlText w:val="%1."/>
      <w:numFmt w:val="decimal"/>
      <w:start w:val="1"/>
    </w:lvl>
    <w:lvl w:ilvl="1">
      <w:lvlJc w:val="left"/>
      <w:lvlText w:val="(%2)"/>
      <w:numFmt w:val="lowerLetter"/>
      <w:start w:val="1"/>
    </w:lvl>
  </w:abstractNum>
  <w:abstractNum w:abstractNumId="216">
    <w:nsid w:val="2771AC80"/>
    <w:multiLevelType w:val="hybridMultilevel"/>
    <w:lvl w:ilvl="0">
      <w:lvlJc w:val="left"/>
      <w:lvlText w:val="(%1)"/>
      <w:numFmt w:val="lowerLetter"/>
      <w:start w:val="1"/>
    </w:lvl>
  </w:abstractNum>
  <w:abstractNum w:abstractNumId="217">
    <w:nsid w:val="1C4A0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2021-07-29T17:54:50Z</dcterms:created>
  <dcterms:modified xsi:type="dcterms:W3CDTF">2021-07-29T17:54:50Z</dcterms:modified>
</cp:coreProperties>
</file>