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001-37983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6400" w:type="dxa"/>
            <w:vAlign w:val="bottom"/>
          </w:tcPr>
          <w:p>
            <w:pPr>
              <w:jc w:val="center"/>
              <w:ind w:right="2618"/>
              <w:spacing w:after="0"/>
              <w:rPr>
                <w:sz w:val="20"/>
                <w:szCs w:val="20"/>
                <w:color w:val="auto"/>
              </w:rPr>
            </w:pPr>
            <w:r>
              <w:rPr>
                <w:rFonts w:ascii="Arial" w:cs="Arial" w:eastAsia="Arial" w:hAnsi="Arial"/>
                <w:sz w:val="18"/>
                <w:szCs w:val="18"/>
                <w:b w:val="1"/>
                <w:bCs w:val="1"/>
                <w:color w:val="auto"/>
                <w:w w:val="90"/>
              </w:rPr>
              <w:t>England and Wales</w:t>
            </w:r>
          </w:p>
        </w:tc>
        <w:tc>
          <w:tcPr>
            <w:tcW w:w="2320" w:type="dxa"/>
            <w:vAlign w:val="bottom"/>
          </w:tcPr>
          <w:p>
            <w:pPr>
              <w:jc w:val="right"/>
              <w:ind w:right="599"/>
              <w:spacing w:after="0"/>
              <w:rPr>
                <w:sz w:val="20"/>
                <w:szCs w:val="20"/>
                <w:color w:val="auto"/>
              </w:rPr>
            </w:pPr>
            <w:r>
              <w:rPr>
                <w:rFonts w:ascii="Arial" w:cs="Arial" w:eastAsia="Arial" w:hAnsi="Arial"/>
                <w:sz w:val="18"/>
                <w:szCs w:val="18"/>
                <w:b w:val="1"/>
                <w:bCs w:val="1"/>
                <w:color w:val="auto"/>
              </w:rPr>
              <w:t>98-1283037</w:t>
            </w:r>
          </w:p>
        </w:tc>
      </w:tr>
      <w:tr>
        <w:trPr>
          <w:trHeight w:val="186"/>
        </w:trPr>
        <w:tc>
          <w:tcPr>
            <w:tcW w:w="6400" w:type="dxa"/>
            <w:vAlign w:val="bottom"/>
          </w:tcPr>
          <w:p>
            <w:pPr>
              <w:jc w:val="center"/>
              <w:ind w:right="2618"/>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6400" w:type="dxa"/>
            <w:vAlign w:val="bottom"/>
          </w:tcPr>
          <w:p>
            <w:pPr>
              <w:jc w:val="center"/>
              <w:ind w:right="2598"/>
              <w:spacing w:after="0"/>
              <w:rPr>
                <w:sz w:val="20"/>
                <w:szCs w:val="20"/>
                <w:color w:val="auto"/>
              </w:rPr>
            </w:pPr>
            <w:r>
              <w:rPr>
                <w:rFonts w:ascii="Arial" w:cs="Arial" w:eastAsia="Arial" w:hAnsi="Arial"/>
                <w:sz w:val="18"/>
                <w:szCs w:val="18"/>
                <w:b w:val="1"/>
                <w:bCs w:val="1"/>
                <w:color w:val="auto"/>
                <w:w w:val="91"/>
              </w:rPr>
              <w:t>One St. Paul’s Churchyard</w:t>
            </w:r>
          </w:p>
        </w:tc>
        <w:tc>
          <w:tcPr>
            <w:tcW w:w="2320" w:type="dxa"/>
            <w:vAlign w:val="bottom"/>
          </w:tcPr>
          <w:p>
            <w:pPr>
              <w:spacing w:after="0"/>
              <w:rPr>
                <w:sz w:val="24"/>
                <w:szCs w:val="24"/>
                <w:color w:val="auto"/>
              </w:rPr>
            </w:pPr>
          </w:p>
        </w:tc>
      </w:tr>
      <w:tr>
        <w:trPr>
          <w:trHeight w:val="225"/>
        </w:trPr>
        <w:tc>
          <w:tcPr>
            <w:tcW w:w="6400" w:type="dxa"/>
            <w:vAlign w:val="bottom"/>
          </w:tcPr>
          <w:p>
            <w:pPr>
              <w:jc w:val="center"/>
              <w:ind w:right="2618"/>
              <w:spacing w:after="0"/>
              <w:rPr>
                <w:sz w:val="20"/>
                <w:szCs w:val="20"/>
                <w:color w:val="auto"/>
              </w:rPr>
            </w:pPr>
            <w:r>
              <w:rPr>
                <w:rFonts w:ascii="Arial" w:cs="Arial" w:eastAsia="Arial" w:hAnsi="Arial"/>
                <w:sz w:val="18"/>
                <w:szCs w:val="18"/>
                <w:b w:val="1"/>
                <w:bCs w:val="1"/>
                <w:color w:val="auto"/>
                <w:w w:val="92"/>
              </w:rPr>
              <w:t>London, United Kingdom</w:t>
            </w:r>
          </w:p>
        </w:tc>
        <w:tc>
          <w:tcPr>
            <w:tcW w:w="2320" w:type="dxa"/>
            <w:vAlign w:val="bottom"/>
          </w:tcPr>
          <w:p>
            <w:pPr>
              <w:jc w:val="center"/>
              <w:ind w:left="19"/>
              <w:spacing w:after="0"/>
              <w:rPr>
                <w:sz w:val="20"/>
                <w:szCs w:val="20"/>
                <w:color w:val="auto"/>
              </w:rPr>
            </w:pPr>
            <w:r>
              <w:rPr>
                <w:rFonts w:ascii="Arial" w:cs="Arial" w:eastAsia="Arial" w:hAnsi="Arial"/>
                <w:sz w:val="18"/>
                <w:szCs w:val="18"/>
                <w:b w:val="1"/>
                <w:bCs w:val="1"/>
                <w:color w:val="auto"/>
                <w:w w:val="99"/>
              </w:rPr>
              <w:t>EC4M 8AP</w:t>
            </w:r>
          </w:p>
        </w:tc>
      </w:tr>
      <w:tr>
        <w:trPr>
          <w:trHeight w:val="186"/>
        </w:trPr>
        <w:tc>
          <w:tcPr>
            <w:tcW w:w="6400" w:type="dxa"/>
            <w:vAlign w:val="bottom"/>
          </w:tcPr>
          <w:p>
            <w:pPr>
              <w:jc w:val="center"/>
              <w:ind w:right="26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400" w:type="dxa"/>
            <w:vAlign w:val="bottom"/>
          </w:tcPr>
          <w:p>
            <w:pPr>
              <w:jc w:val="right"/>
              <w:ind w:right="978"/>
              <w:spacing w:after="0"/>
              <w:rPr>
                <w:sz w:val="20"/>
                <w:szCs w:val="20"/>
                <w:color w:val="auto"/>
              </w:rPr>
            </w:pPr>
            <w:r>
              <w:rPr>
                <w:rFonts w:ascii="Arial" w:cs="Arial" w:eastAsia="Arial" w:hAnsi="Arial"/>
                <w:sz w:val="18"/>
                <w:szCs w:val="18"/>
                <w:b w:val="1"/>
                <w:bCs w:val="1"/>
                <w:color w:val="auto"/>
              </w:rPr>
              <w:t>+44 203-429-3950</w:t>
            </w:r>
          </w:p>
        </w:tc>
        <w:tc>
          <w:tcPr>
            <w:tcW w:w="2320" w:type="dxa"/>
            <w:vAlign w:val="bottom"/>
          </w:tcPr>
          <w:p>
            <w:pPr>
              <w:spacing w:after="0"/>
              <w:rPr>
                <w:sz w:val="24"/>
                <w:szCs w:val="24"/>
                <w:color w:val="auto"/>
              </w:rPr>
            </w:pPr>
          </w:p>
        </w:tc>
      </w:tr>
      <w:tr>
        <w:trPr>
          <w:trHeight w:val="186"/>
        </w:trPr>
        <w:tc>
          <w:tcPr>
            <w:tcW w:w="6400" w:type="dxa"/>
            <w:vAlign w:val="bottom"/>
          </w:tcPr>
          <w:p>
            <w:pPr>
              <w:jc w:val="center"/>
              <w:ind w:left="28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44" w:lineRule="exact"/>
        <w:rPr>
          <w:sz w:val="24"/>
          <w:szCs w:val="24"/>
          <w:color w:val="auto"/>
        </w:rPr>
      </w:pPr>
    </w:p>
    <w:tbl>
      <w:tblPr>
        <w:tblLayout w:type="fixed"/>
        <w:tblInd w:w="1240" w:type="dxa"/>
        <w:tblCellMar>
          <w:top w:w="0" w:type="dxa"/>
          <w:left w:w="0" w:type="dxa"/>
          <w:bottom w:w="0" w:type="dxa"/>
          <w:right w:w="0" w:type="dxa"/>
        </w:tblCellMar>
      </w:tblPr>
      <w:tr>
        <w:trPr>
          <w:trHeight w:val="185"/>
        </w:trPr>
        <w:tc>
          <w:tcPr>
            <w:tcW w:w="1480" w:type="dxa"/>
            <w:vAlign w:val="bottom"/>
          </w:tcPr>
          <w:p>
            <w:pPr>
              <w:spacing w:after="0"/>
              <w:rPr>
                <w:sz w:val="16"/>
                <w:szCs w:val="16"/>
                <w:color w:val="auto"/>
              </w:rPr>
            </w:pPr>
          </w:p>
        </w:tc>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 at April 28, 2017</w:t>
            </w:r>
          </w:p>
        </w:tc>
      </w:tr>
      <w:tr>
        <w:trPr>
          <w:trHeight w:val="228"/>
        </w:trPr>
        <w:tc>
          <w:tcPr>
            <w:tcW w:w="1480" w:type="dxa"/>
            <w:vAlign w:val="bottom"/>
          </w:tcPr>
          <w:p>
            <w:pPr>
              <w:spacing w:after="0"/>
              <w:rPr>
                <w:sz w:val="20"/>
                <w:szCs w:val="20"/>
                <w:color w:val="auto"/>
              </w:rPr>
            </w:pPr>
            <w:r>
              <w:rPr>
                <w:rFonts w:ascii="Arial" w:cs="Arial" w:eastAsia="Arial" w:hAnsi="Arial"/>
                <w:sz w:val="18"/>
                <w:szCs w:val="18"/>
                <w:b w:val="1"/>
                <w:bCs w:val="1"/>
                <w:color w:val="auto"/>
                <w:w w:val="92"/>
              </w:rPr>
              <w:t>Ordinary shares, $</w:t>
            </w: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1"/>
              </w:rPr>
              <w:t>1.00</w:t>
            </w:r>
          </w:p>
        </w:tc>
        <w:tc>
          <w:tcPr>
            <w:tcW w:w="4680" w:type="dxa"/>
            <w:vAlign w:val="bottom"/>
          </w:tcPr>
          <w:p>
            <w:pPr>
              <w:spacing w:after="0"/>
              <w:rPr>
                <w:sz w:val="20"/>
                <w:szCs w:val="20"/>
                <w:color w:val="auto"/>
              </w:rPr>
            </w:pPr>
            <w:r>
              <w:rPr>
                <w:rFonts w:ascii="Arial" w:cs="Arial" w:eastAsia="Arial" w:hAnsi="Arial"/>
                <w:sz w:val="18"/>
                <w:szCs w:val="18"/>
                <w:b w:val="1"/>
                <w:bCs w:val="1"/>
                <w:color w:val="auto"/>
              </w:rPr>
              <w:t>par value per share</w:t>
            </w:r>
          </w:p>
        </w:tc>
        <w:tc>
          <w:tcPr>
            <w:tcW w:w="182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b w:val="1"/>
                <w:bCs w:val="1"/>
                <w:color w:val="auto"/>
              </w:rPr>
              <w:t>466,592,009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TechnipFMC plc (the “Company”) is filing this Amendment No. 1 (“Form 10-Q/A”) to our Quarterly Report on Form 10-Q for the quarter-ended March 31, 2017, which was originally filed (“Original Filing”) on May 4, 2017, to reflect the restatement of its unaudited interim condensed consolidated U.S. GAAP financial statements for all periods presented in the Original Filing and to amend related disclosures, including our conclusion on disclosure controls and procedures, in order to correct errors in our financial statements caused by the miscalculation of the foreign currency effects on certain of our engineering and construction projects and related ownership interests, as more fully described in Note 2 to the condensed consolidated financial statements included in Part I, Item 1 of this Form 10-Q/A. Additionally, conforming changes occur throughout this filing because of the changes to the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sections in the Original Filing are revised in this Form 10-Q/A, solely as a result of, and to reflect, the restatement: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1 - 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 - Item 4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1A –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 – Exhibits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rules of the Securities and Exchange Commission (“SEC”), Part II, Item 6 of the Original Filing has been amended to include the currently-dated certifications from the Company’s principal executive officer and principal financial officer, as required by Sections 302 and 906 of the Sarbanes-Oxley Act of 2002. The certifications of the principal executive officer and principal financial officer are included in this Form 10-Q/A as Exhibits 31.1, 31.2, 32.1 and 32.2.</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convenience of the reader, this Form 10-Q/A sets forth the information in the Original Filing in its entirety, as such information is modified and superseded where necessary to reflect the restatement and related revisions. This Form 10-Q/A should be read in conjunction with the Company’s filings with the SEC subsequent the filing date of the Original Filing.</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1060" w:type="dxa"/>
            <w:vAlign w:val="bottom"/>
            <w:gridSpan w:val="23"/>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60" w:type="dxa"/>
            <w:vAlign w:val="bottom"/>
            <w:gridSpan w:val="23"/>
          </w:tcPr>
          <w:p>
            <w:pPr>
              <w:spacing w:after="0"/>
              <w:rPr>
                <w:sz w:val="20"/>
                <w:szCs w:val="20"/>
                <w:color w:val="auto"/>
              </w:rPr>
            </w:pPr>
            <w:r>
              <w:rPr>
                <w:rFonts w:ascii="Arial" w:cs="Arial" w:eastAsia="Arial" w:hAnsi="Arial"/>
                <w:sz w:val="18"/>
                <w:szCs w:val="18"/>
                <w:color w:val="auto"/>
              </w:rPr>
              <w:t>Item 1. Financial Statements (unaudited)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3400" w:type="dxa"/>
            <w:vAlign w:val="bottom"/>
            <w:tcBorders>
              <w:bottom w:val="single" w:sz="8" w:color="0000EE"/>
            </w:tcBorders>
            <w:gridSpan w:val="15"/>
          </w:tcPr>
          <w:p>
            <w:pPr>
              <w:spacing w:after="0" w:line="190"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Income</w:t>
              </w:r>
            </w:hyperlink>
          </w:p>
        </w:tc>
        <w:tc>
          <w:tcPr>
            <w:tcW w:w="7280" w:type="dxa"/>
            <w:vAlign w:val="bottom"/>
            <w:gridSpan w:val="7"/>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5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Comprehensive Income</w:t>
              </w:r>
            </w:hyperlink>
          </w:p>
        </w:tc>
        <w:tc>
          <w:tcPr>
            <w:tcW w:w="61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2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Condensed Consolidated Statements of Changes in Stockholders’ Equity</w:t>
              </w:r>
            </w:hyperlink>
          </w:p>
        </w:tc>
        <w:tc>
          <w:tcPr>
            <w:tcW w:w="54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60" w:type="dxa"/>
            <w:vAlign w:val="bottom"/>
            <w:gridSpan w:val="23"/>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0680" w:type="dxa"/>
            <w:vAlign w:val="bottom"/>
            <w:gridSpan w:val="22"/>
          </w:tcPr>
          <w:p>
            <w:pPr>
              <w:spacing w:after="0" w:line="190" w:lineRule="exact"/>
              <w:rPr>
                <w:rFonts w:ascii="Arial" w:cs="Arial" w:eastAsia="Arial" w:hAnsi="Arial"/>
                <w:sz w:val="18"/>
                <w:szCs w:val="18"/>
                <w:color w:val="0000EE"/>
              </w:rPr>
            </w:pPr>
            <w:hyperlink w:anchor="page46">
              <w:r>
                <w:rPr>
                  <w:rFonts w:ascii="Arial" w:cs="Arial" w:eastAsia="Arial" w:hAnsi="Arial"/>
                  <w:sz w:val="18"/>
                  <w:szCs w:val="18"/>
                  <w:color w:val="0000EE"/>
                </w:rPr>
                <w:t>Business Outlook</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5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Results of Operations</w:t>
              </w:r>
            </w:hyperlink>
          </w:p>
        </w:tc>
        <w:tc>
          <w:tcPr>
            <w:tcW w:w="812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Segment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Inbound Orders and Order Backlog</w:t>
              </w:r>
            </w:hyperlink>
          </w:p>
        </w:tc>
        <w:tc>
          <w:tcPr>
            <w:tcW w:w="81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Liquidity and Capital Resources</w:t>
              </w:r>
            </w:hyperlink>
          </w:p>
        </w:tc>
        <w:tc>
          <w:tcPr>
            <w:tcW w:w="83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Critical Accounting Estimates</w:t>
              </w:r>
            </w:hyperlink>
          </w:p>
        </w:tc>
        <w:tc>
          <w:tcPr>
            <w:tcW w:w="846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3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Off-Balance Sheet Arrangements</w:t>
              </w:r>
            </w:hyperlink>
          </w:p>
        </w:tc>
        <w:tc>
          <w:tcPr>
            <w:tcW w:w="83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Other Matters</w:t>
              </w:r>
            </w:hyperlink>
          </w:p>
        </w:tc>
        <w:tc>
          <w:tcPr>
            <w:tcW w:w="968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80" w:type="dxa"/>
            <w:vAlign w:val="bottom"/>
            <w:gridSpan w:val="2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Recently Issued Accounting Standards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3. Quantitative and Qualitative Disclosures About Market Risk</w:t>
              </w:r>
            </w:hyperlink>
          </w:p>
        </w:tc>
        <w:tc>
          <w:tcPr>
            <w:tcW w:w="61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Item 4. Controls and Procedures</w:t>
              </w:r>
            </w:hyperlink>
          </w:p>
        </w:tc>
        <w:tc>
          <w:tcPr>
            <w:tcW w:w="87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1060" w:type="dxa"/>
            <w:vAlign w:val="bottom"/>
            <w:gridSpan w:val="23"/>
          </w:tcPr>
          <w:p>
            <w:pPr>
              <w:spacing w:after="0"/>
              <w:rPr>
                <w:sz w:val="20"/>
                <w:szCs w:val="20"/>
                <w:color w:val="auto"/>
              </w:rPr>
            </w:pPr>
            <w:r>
              <w:rPr>
                <w:rFonts w:ascii="Arial" w:cs="Arial" w:eastAsia="Arial" w:hAnsi="Arial"/>
                <w:sz w:val="18"/>
                <w:szCs w:val="18"/>
                <w:b w:val="1"/>
                <w:bCs w:val="1"/>
                <w:color w:val="auto"/>
              </w:rPr>
              <w:t>PART II—Other Information</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00" w:type="dxa"/>
            <w:vAlign w:val="bottom"/>
            <w:tcBorders>
              <w:bottom w:val="single" w:sz="8" w:color="0000EE"/>
            </w:tcBorders>
            <w:gridSpan w:val="6"/>
          </w:tcPr>
          <w:p>
            <w:pPr>
              <w:spacing w:after="0" w:line="190"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Item 1. Legal Proceedings</w:t>
              </w:r>
            </w:hyperlink>
          </w:p>
        </w:tc>
        <w:tc>
          <w:tcPr>
            <w:tcW w:w="9160" w:type="dxa"/>
            <w:vAlign w:val="bottom"/>
            <w:gridSpan w:val="17"/>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Item 1A. Risk Factors</w:t>
              </w:r>
            </w:hyperlink>
          </w:p>
        </w:tc>
        <w:tc>
          <w:tcPr>
            <w:tcW w:w="942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Item 2. Unregistered Sales of Equity Securities and Use of Proceeds</w:t>
              </w:r>
            </w:hyperlink>
          </w:p>
        </w:tc>
        <w:tc>
          <w:tcPr>
            <w:tcW w:w="61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060" w:type="dxa"/>
            <w:vAlign w:val="bottom"/>
            <w:gridSpan w:val="2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4"/>
          </w:tcPr>
          <w:p>
            <w:pPr>
              <w:spacing w:after="0"/>
              <w:rPr>
                <w:sz w:val="17"/>
                <w:szCs w:val="17"/>
                <w:color w:val="auto"/>
              </w:rPr>
            </w:pPr>
          </w:p>
        </w:tc>
        <w:tc>
          <w:tcPr>
            <w:tcW w:w="81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Item 5. Other Information</w:t>
              </w:r>
            </w:hyperlink>
          </w:p>
        </w:tc>
        <w:tc>
          <w:tcPr>
            <w:tcW w:w="918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060" w:type="dxa"/>
            <w:vAlign w:val="bottom"/>
            <w:gridSpan w:val="2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5"/>
        </w:trPr>
        <w:tc>
          <w:tcPr>
            <w:tcW w:w="1160" w:type="dxa"/>
            <w:vAlign w:val="bottom"/>
            <w:tcBorders>
              <w:top w:val="single" w:sz="8" w:color="0000EE"/>
            </w:tcBorders>
            <w:gridSpan w:val="2"/>
          </w:tcPr>
          <w:p>
            <w:pPr>
              <w:spacing w:after="0"/>
              <w:rPr>
                <w:sz w:val="24"/>
                <w:szCs w:val="24"/>
                <w:color w:val="auto"/>
              </w:rPr>
            </w:pPr>
          </w:p>
        </w:tc>
        <w:tc>
          <w:tcPr>
            <w:tcW w:w="9900" w:type="dxa"/>
            <w:vAlign w:val="bottom"/>
            <w:gridSpan w:val="21"/>
          </w:tcPr>
          <w:p>
            <w:pPr>
              <w:jc w:val="right"/>
              <w:ind w:right="53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Quarterly Report on Form 10-Q/A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10-Q/A, as well as the following:</w:t>
      </w:r>
    </w:p>
    <w:p>
      <w:pPr>
        <w:spacing w:after="0" w:line="92" w:lineRule="exact"/>
        <w:rPr>
          <w:sz w:val="20"/>
          <w:szCs w:val="20"/>
          <w:color w:val="auto"/>
        </w:rPr>
      </w:pPr>
    </w:p>
    <w:p>
      <w:pPr>
        <w:ind w:left="900" w:right="3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the material weakness remediation process could identify additional issues relating to disclosure controls and procedures or internal control over financial reporting;</w:t>
      </w:r>
    </w:p>
    <w:p>
      <w:pPr>
        <w:spacing w:after="0" w:line="75"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need to devote additional time, effort and expense to address other matters relating to the restatement, including potential governmental investigations or shareholder lawsuits and possible fines, penalties or settlements resulting therefrom;</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asset construction projects that may affect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disruptions in the timely delivery of our backlog and its effect on our future sales, profitability, and our relationships with our customers;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reliance on subcontractors, suppliers and joint venture partners in the performance of our contracts;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hire and retain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environmental regulations, that may increase our costs, limit the demand for our products and services or restrict our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the United Kingdom’s referendum on withdrawal from the European Union;</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court approval of “distributable profits” and stockholder approval of certain capital structure decisions;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pay dividends or repurchase shares in accordance with our announced capital allocation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merger-related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tax liabilities, or changes in U.S. federal or international tax laws or interpretations to which they are subject; and</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United States Securities and Exchange Commission and in our filings with the Autorité des marchés financiers or the U.K. Financial Conduct Authority.</w:t>
      </w:r>
    </w:p>
    <w:p>
      <w:pPr>
        <w:spacing w:after="0" w:line="170"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56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Service revenue</w:t>
            </w:r>
          </w:p>
        </w:tc>
        <w:tc>
          <w:tcPr>
            <w:tcW w:w="270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2,791.8</w:t>
            </w: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revenue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Lease and other revenue</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w:t>
            </w:r>
          </w:p>
        </w:tc>
        <w:tc>
          <w:tcPr>
            <w:tcW w:w="2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3,388.0</w:t>
            </w: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Costs and expenses: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 revenue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2,377.6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Cost of product revenue</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lease and other revenue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Restructuring and impairment expense (Note 6)</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 transaction and integration costs (Note 3)</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2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3,342.2</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2,209.3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from equity affiliates (Note 9)</w:t>
            </w:r>
          </w:p>
        </w:tc>
        <w:tc>
          <w:tcPr>
            <w:tcW w:w="2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net interest expense and income taxes</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interest expense</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Provision for income taxes (Note 15)</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TechnipFMC plc</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TechnipFMC plc (Note 5):</w:t>
            </w: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70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70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(Note 5):</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Basic</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29"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Three Months Ended</w:t>
      </w:r>
    </w:p>
    <w:p>
      <w:pPr>
        <w:jc w:val="center"/>
        <w:ind w:left="9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5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As 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Foreign currency translation adjustments </w:t>
            </w:r>
            <w:r>
              <w:rPr>
                <w:rFonts w:ascii="Arial" w:cs="Arial" w:eastAsia="Arial" w:hAnsi="Arial"/>
                <w:sz w:val="15"/>
                <w:szCs w:val="15"/>
                <w:color w:val="auto"/>
              </w:rPr>
              <w:t>(1)</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Net unrealized gains (losses) on available-for-sale securities: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unrealized gains arising during the period</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Reclassification adjustment for net gains (losses) included in net income</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xml:space="preserve">Net unrealized gains on available-for-sale securities </w:t>
            </w:r>
            <w:r>
              <w:rPr>
                <w:rFonts w:ascii="Arial" w:cs="Arial" w:eastAsia="Arial" w:hAnsi="Arial"/>
                <w:sz w:val="15"/>
                <w:szCs w:val="15"/>
                <w:color w:val="auto"/>
              </w:rPr>
              <w:t>(2)</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Net gains (losses) on hedging instruments: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gains arising during the period</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Reclassification adjustment for net (gains) losses included in net 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xml:space="preserve">Net gains (losses) on hedging instruments </w:t>
            </w:r>
            <w:r>
              <w:rPr>
                <w:rFonts w:ascii="Arial" w:cs="Arial" w:eastAsia="Arial" w:hAnsi="Arial"/>
                <w:sz w:val="15"/>
                <w:szCs w:val="15"/>
                <w:color w:val="auto"/>
              </w:rPr>
              <w:t>(3)</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Pension and other post-retirement benefits: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adjustment for amortization of prior service cost included in net income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Reclassification adjustment for amortization of net actuarial loss included in net income</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 xml:space="preserve">Net pension and other post-retirement benefits (costs) </w:t>
            </w:r>
            <w:r>
              <w:rPr>
                <w:rFonts w:ascii="Arial" w:cs="Arial" w:eastAsia="Arial" w:hAnsi="Arial"/>
                <w:sz w:val="15"/>
                <w:szCs w:val="15"/>
                <w:color w:val="auto"/>
              </w:rPr>
              <w:t>(4)</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67.0</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TechnipFMC plc</w:t>
            </w: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Net of income tax (expense) benefit of $(0.7) and nil for the three months ended March 31, 2017 and 2016, respectively.</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Net of income tax (expense) benefit of nil and nil for the three months ended March 31, 2017 and 2016, respectively.</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Net of income tax (expense) benefit of $(18.6) and $(7.6) for the three months ended March 31, 2017 and 2016, respectively.</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Net of income tax (expense) benefit of $0.2 and $0.1 for the three months ended March 31, 2017 and 2016,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par value data)</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4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As 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7,041.7</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allowances of $104.2 in 2017 and $85.6 in 2016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1,036.8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 (Note 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Derivative financial instruments (Note 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Advances paid to suppliers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682.8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(Note 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13,734.8</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10,937.2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equity affiliates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$1,765.0 in 2017 and $1,691.8 in 2016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3,975.5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$316.6 in 2017 and $245.9 in 2016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1,501.2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Derivative financial instruments (Note 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29,615.9</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18,689.7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Short-term debt and current portion of long-term debt (Note 11)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499.0</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Advance payments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Accrued payroll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(Note 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 (Note 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11,719.4</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10,888.9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 (Note 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Accrued pension and other post-retirement benefits, less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(Note 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(Note 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Commitments and contingent liabilities (Note 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(Note 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w w:val="92"/>
              </w:rPr>
              <w:t>Ordinary shares, $1.00 par value and €0.7625 in 2017 and 2016, respectively; 525.0 shares and 119.2 shares authorized 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w w:val="90"/>
              </w:rPr>
              <w:t>2017 and 2016, respectively; 347.4 shares and 3.3 shares issued in 2017 and 2016, respectively; no shares and 3.2 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canceled in 2017 and 2016, respectively; 466.6 and 118.9 shares outstanding in 2017 and 2016,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466.6</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held in employee benefit trust, at cost; 0.1 shares in 2017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Treasury stock, at cost; no shares and 0.3 shares in 2017 and 2016,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 of ordinary shares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10,507.6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3,397.4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(990.4)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Total TechnipFMC plc stockholders’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13,375.8</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13,382.2</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29,615.9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18,689.7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As Restated</w:t>
            </w:r>
          </w:p>
        </w:tc>
        <w:tc>
          <w:tcPr>
            <w:tcW w:w="3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As 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(required)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(required)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Employee benefit plan and stock-based compensation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derivative instruments and foreign exchange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Deferred income tax provision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Impairments (Note 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Trade receivables, net and costs in excess of billings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Accounts payable, trade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(168.8)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payments and billings in excess of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Income taxes payable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liabilities,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(required) by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acquired in merger of FMC Technologies, Inc. and Technip S.A. (Note 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1,479.2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sale of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Cash provided (required) by investing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5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1,442.9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(required) by financing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Net increase (decrease) in short-term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 (decrease) in commercial paper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Payments related to taxes withheld on 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Cash required by financing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(865.5)</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foreign exchange rates on 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6,269.3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3,178.0</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7,041.7</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2,946.5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Ordinary</w:t>
            </w:r>
          </w:p>
        </w:tc>
        <w:tc>
          <w:tcPr>
            <w:tcW w:w="100" w:type="dxa"/>
            <w:vAlign w:val="bottom"/>
          </w:tcPr>
          <w:p>
            <w:pPr>
              <w:spacing w:after="0"/>
              <w:rPr>
                <w:sz w:val="14"/>
                <w:szCs w:val="14"/>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Capital in</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Held in</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Treasury and</w:t>
            </w: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Excess of Par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Employee</w:t>
            </w: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Value of</w:t>
            </w:r>
          </w:p>
        </w:tc>
        <w:tc>
          <w:tcPr>
            <w:tcW w:w="8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Ordinary</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Trust</w:t>
            </w: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8"/>
              </w:rPr>
              <w:t>As Restated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114.7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2,694.7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Issuance of ordinary shares due to the Merger of</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FMC Technologies and Technip</w:t>
            </w:r>
          </w:p>
        </w:tc>
        <w:tc>
          <w:tcPr>
            <w:tcW w:w="100" w:type="dxa"/>
            <w:vAlign w:val="bottom"/>
          </w:tcPr>
          <w:p>
            <w:pPr>
              <w:spacing w:after="0"/>
              <w:rPr>
                <w:sz w:val="20"/>
                <w:szCs w:val="20"/>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351.9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7,825.4</w:t>
            </w:r>
          </w:p>
        </w:tc>
        <w:tc>
          <w:tcPr>
            <w:tcW w:w="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treasury stock (Note 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Net sales of ordinary shares for employee benefit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trust</w:t>
            </w:r>
          </w:p>
        </w:tc>
        <w:tc>
          <w:tcPr>
            <w:tcW w:w="10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(Note 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466.6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10,507.6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13,382.2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2017.</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this Quarterly Report on Form 10-Q/A, we are reporting the results of our operations for the three months ended March 31, 2017, which consist of the combined results of operations of Technip S.A. (“Technip”) and FMC Technologies, Inc. (“FMC Technologies”). Due to the Merger of FMC Technologies and Technip, FMC Technologies’ results of operations have been included in our financial statements for periods subsequent to the consummation of the Merger on January 16, 2017.</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Since TechnipFMC is the successor company to Technip, we are presenting the results of Technip’s operations for the three months ended March 31, 2016 and as of December 31, 2016. Refer to Note 3 for further information related to the merger of FMC Technologies and Technip.</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—These consolidated financial statements include the accounts of TechnipFMC and its majority-owned subsidiaries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accounts and transactions are eliminated in consolidation.</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related to income taxes; and estimates related to contingencies, including liquidated damages.</w:t>
      </w:r>
    </w:p>
    <w:p>
      <w:pPr>
        <w:spacing w:after="0" w:line="17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Investments in the common stock of unconsolidated affiliates</w:t>
      </w:r>
      <w:r>
        <w:rPr>
          <w:rFonts w:ascii="Arial" w:cs="Arial" w:eastAsia="Arial" w:hAnsi="Arial"/>
          <w:sz w:val="18"/>
          <w:szCs w:val="18"/>
          <w:color w:val="auto"/>
        </w:rPr>
        <w:t>—The equity method of accounting is used to account for investments in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where we have the ability to exert significant influence over the affiliate’s operating and financial policies. The cost method of accounting is used where significant influence over the affiliate is not present.</w:t>
      </w:r>
    </w:p>
    <w:p>
      <w:pPr>
        <w:ind w:right="4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historical cost, less any accumulated impairment losses.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Business combinations—</w:t>
      </w:r>
      <w:r>
        <w:rPr>
          <w:rFonts w:ascii="Arial" w:cs="Arial" w:eastAsia="Arial" w:hAnsi="Arial"/>
          <w:sz w:val="17"/>
          <w:szCs w:val="17"/>
          <w:color w:val="auto"/>
        </w:rPr>
        <w:t>Business combinations are accounted for using the acquisition method of accounting. Under the acquisition method, assets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assets, assumed liabilities and identifiable intangible assets based on their estimated fair values. Any excess of the purchase price over the estimated fair values of the net assets acquired is recorded as goodwill. Transaction related costs are expensed as incurred.</w:t>
      </w:r>
    </w:p>
    <w:p>
      <w:pPr>
        <w:spacing w:after="0" w:line="1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—Revenue is generally recognized once the following four criteria are met: i) persuasive evidence of an arrangement exists, ii)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equipment has occurred (which is upon shipment or when customer-specific acceptance requirements are met) or services have been rendered, iii) the price of the equipment or service is fixed and determinable, and iv) collectability is reasonably assured. We record our sales net of any value added, sales or use tax.</w:t>
      </w:r>
    </w:p>
    <w:p>
      <w:pPr>
        <w:spacing w:after="0" w:line="18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For certain construction-type manufacturing and assembly projects that involve significant design and engineering efforts to satisfy detailed customer specifications, revenue is recognized using the percentage of completion method of accounting. Under the percentage of completion method, revenue is recognized as work progresses on each contract. We apply the ratio of costs incurred to date to total estimated contract costs at completion or on physical progress defined for the main deliverables under the contracts. If it is not possible to form a reliable estimate of progress toward completion, no revenue or costs are recognized until the project is complete or substantially complete. Any expected losses on construction-type contracts in progress are charged to earnings, in total, in the period the losses are identified.</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Modifications to construction-type contracts, referred to as “change orders,” effectively change the provisions of the original contract, and may, for example, alter the specifications or design, method or manner of performance, equipment, materials, sites and/or period for completion of the work. If a change order represents a firm price commitment from a customer, we account for the revised estimate as if it had been included in the original estimate, effectively recognizing the pro rata impact of the new estimate on our calculation of progress toward completion in the period in which the firm commitment is received. If a change order is unpriced: (1) we include the costs of contract performance in our calculation of progress toward completion in the period in which the costs are incurred or become probable; and (2) when it is determined that the revenue is probable of recovery, we include the change order revenue, limited to the costs incurred to date related to the change order, in our calculation of progress toward completion. Unpriced change orders included in revenue were immaterial to our consolidated revenue for all periods presented. Margin is not recorded on unpriced change orders unless realization is assured beyond a reasonable doubt. The assessment of realization may be based upon our previous experience with the customer or based upon our receipt of a firm price commitment from the customer.</w:t>
      </w:r>
    </w:p>
    <w:p>
      <w:pPr>
        <w:spacing w:after="0" w:line="17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Progress billings are generally issued upon completion of certain phases of the work as stipulated in the contract. Revenue in excess of progress billings are reported in costs and estimated earnings in excess of billings on uncompleted contracts in our condensed consolidated balance sheets. Progress billings and cash collections in excess of revenue recognized on a contract are classified as billings in excess of costs and estimated earnings on uncompleted contracts and advance payments, respectively, in our condensed consolidated balance sheets. Revenue generated from the installation portion of construction-type contracts is included in service and product revenue in our condensed consolidated statements of income.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—Cash equivalents are highly-liquid, short-term instruments with original maturities of three months or less from their date of purchase.</w:t>
      </w:r>
    </w:p>
    <w:p>
      <w:pPr>
        <w:spacing w:after="0" w:line="2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Trade receivables, net of allowances</w:t>
      </w:r>
      <w:r>
        <w:rPr>
          <w:rFonts w:ascii="Arial" w:cs="Arial" w:eastAsia="Arial" w:hAnsi="Arial"/>
          <w:sz w:val="18"/>
          <w:szCs w:val="18"/>
          <w:color w:val="auto"/>
        </w:rPr>
        <w:t>—An allowance for doubtful accounts is provided on receivables equal to the estimated uncollectible amounts.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is based on historical collection experience and a specific review of each customer’s receivables balance.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stated at the lower of cost or net realizable value. Inventory costs include those costs directly attributable to products,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all manufacturing overhead, but excluding costs to distribute. Cost is determined on the last-in, first-out (“LIFO”) basis for a significant portion of U.S. domiciled inventories. The first-in, first-out (“FIFO”) or weighted average methods are used to determine the cost for most other inventories. Write-down on inventories are recorded when the net realizable value of inventories is lower than their net book value.</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Impairment of property, plant and equipment</w:t>
      </w:r>
      <w:r>
        <w:rPr>
          <w:rFonts w:ascii="Arial" w:cs="Arial" w:eastAsia="Arial" w:hAnsi="Arial"/>
          <w:sz w:val="16"/>
          <w:szCs w:val="16"/>
          <w:color w:val="auto"/>
        </w:rPr>
        <w:t>—Property, plant and equipment are reviewed for impairment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the carrying value of the long-lived asset may not be recoverable. The carrying value of a long-lived asset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—Goodwill is not subject to amortization but is tested for impairment on an annual basis (or more frequently if impairment indicators arise).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established October 31 as the date of our annual test for impairment of goodwill. Reporting units with goodwill are tested for impairment by first assessing qualitative factors to determine whether the existence of events or circumstances leads to a determination that it is more likely than not that the fair value of the reporting unit is less than its carrying amount. If after assessing the totality of events or circumstances, or based on management’s judgment, we determine it is more likely than not that the fair value of a reporting unit is less than its carrying amount, a two-step impairment test is performed. The first step compares the fair value of the reporting unit (measured as the present value of expected future cash flows) to its carrying amount. If the fair value of the reporting unit is less than its carrying amount, a second step is performed. In this step, the fair value of the reporting unit is allocated to its assets and liabilities to determine the implied fair value of goodwill, which is used to measure the impairment loss.</w:t>
      </w:r>
    </w:p>
    <w:p>
      <w:pPr>
        <w:spacing w:after="0" w:line="1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Debt instruments—</w:t>
      </w:r>
      <w:r>
        <w:rPr>
          <w:rFonts w:ascii="Arial" w:cs="Arial" w:eastAsia="Arial" w:hAnsi="Arial"/>
          <w:sz w:val="18"/>
          <w:szCs w:val="18"/>
          <w:color w:val="auto"/>
        </w:rPr>
        <w:t>Debt instruments include convertible and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premium on all debt instruments are included in the cost of debt in the condensed consolidated balance sheets, as an adjustment to the nominal amount of the debt.</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Fair value measurements</w:t>
      </w:r>
      <w:r>
        <w:rPr>
          <w:rFonts w:ascii="Arial" w:cs="Arial" w:eastAsia="Arial" w:hAnsi="Arial"/>
          <w:sz w:val="17"/>
          <w:szCs w:val="17"/>
          <w:color w:val="auto"/>
        </w:rPr>
        <w:t>—Fair value is defined as the price that would be received to sell an asset or paid to transfer a liability (an exit price) in an orderly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78"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quoted prices for identical assets or liabilities in inactive markets.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—Current income taxes are provided on income reported for financial statement purposes, adjusted for transactions that do not enter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 of income taxes payable in the same year. Deferred tax assets and liabilities are measured using enacted tax rates for the expected future tax consequences of temporary differences between the carrying amounts and the tax bases of assets and liabilities. A valuation allowance is established whenever management believes that it is more likely than not that deferred tax assets may not be realizable.</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U.S. income taxes are not provided on our equity in undistributed earnings of foreign subsidiaries or affiliates to the extent we have determined that the earnings are indefinitely reinvested. U.S. income taxes are provided on such earnings in the period in which we can no longer support that such earnings are indefinitely reinvested.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Stock-based employee compensation</w:t>
      </w:r>
      <w:r>
        <w:rPr>
          <w:rFonts w:ascii="Arial" w:cs="Arial" w:eastAsia="Arial" w:hAnsi="Arial"/>
          <w:sz w:val="17"/>
          <w:szCs w:val="17"/>
          <w:color w:val="auto"/>
        </w:rPr>
        <w:t>—We measure stock-based compensation expense on restricted stock awards based on the market price at the grant date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number of shares awarded. We use the Cox Ross Rubinstein binomial model to measure the fair value of stock options granted prior to December 31, 2016 and Black-Scholes options pricing model to measure the fair value of stock options granted since January 1, 2017. The stock-based compensation expense for each award is recognized ratably over the applicable service period, after taking into account estimated forfeitures, or the period beginning at the start of the service period and ending when an employee becomes eligible for retirement.</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Ordinary shares held in employee benefit trust</w:t>
      </w:r>
      <w:r>
        <w:rPr>
          <w:rFonts w:ascii="Arial" w:cs="Arial" w:eastAsia="Arial" w:hAnsi="Arial"/>
          <w:sz w:val="18"/>
          <w:szCs w:val="18"/>
          <w:color w:val="auto"/>
        </w:rPr>
        <w:t>—Our ordinary shares are purchased by the plan administrator of the FMC Technologies, Inc.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and Investment Plan and placed in a trust owned by us. Purchased shares are recorded at cost and classified as a reduction of stockholders’ equity on the condensed consolidated balance sheets.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Treasury shares</w:t>
      </w:r>
      <w:r>
        <w:rPr>
          <w:rFonts w:ascii="Arial" w:cs="Arial" w:eastAsia="Arial" w:hAnsi="Arial"/>
          <w:sz w:val="18"/>
          <w:szCs w:val="18"/>
          <w:color w:val="auto"/>
        </w:rPr>
        <w:t>—Treasury shares are recorded as a reduction to stockholders’ equity using the cost method. Any gain or loss related to the sale of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 included in stockholders’ equity.</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Earnings per ordinary share (“EPS”)</w:t>
      </w:r>
      <w:r>
        <w:rPr>
          <w:rFonts w:ascii="Arial" w:cs="Arial" w:eastAsia="Arial" w:hAnsi="Arial"/>
          <w:sz w:val="18"/>
          <w:szCs w:val="18"/>
          <w:color w:val="auto"/>
        </w:rPr>
        <w:t>—Basic EPS is computed using the weighted-average number of ordinary shares outstanding during the year.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common shares assumed to be converted as of the issuance date are included to compute diluted EPS under the if-converted method. Additionally the net profit of the period would be adjusted for the after-tax interest expense related to these dilutive shares.</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Foreign currency</w:t>
      </w:r>
      <w:r>
        <w:rPr>
          <w:rFonts w:ascii="Arial" w:cs="Arial" w:eastAsia="Arial" w:hAnsi="Arial"/>
          <w:sz w:val="17"/>
          <w:szCs w:val="17"/>
          <w:color w:val="auto"/>
        </w:rPr>
        <w:t>—Financial statements of operations for which the U.S. dollar is not the functional currency, and are located in non-highly inflationary</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exchanges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Derivative instruments—</w:t>
      </w:r>
      <w:r>
        <w:rPr>
          <w:rFonts w:ascii="Arial" w:cs="Arial" w:eastAsia="Arial" w:hAnsi="Arial"/>
          <w:sz w:val="18"/>
          <w:szCs w:val="18"/>
          <w:color w:val="auto"/>
        </w:rPr>
        <w:t>Derivatives are recognized on the condensed consolidated balance sheets at fair value, with classification as current or non-current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condensed consolidated statements of income, as they occur and offset gains or losses on the remeasurement of the related asset or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FINANCIAL STATEMENTS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Original Filing, we recognized significant net foreign exchange gains. In July 2017, incremental reviews were performed on the gains and losses from foreign currency denominated transactions which operate as natural hedges on its projects. For each project, a currency rate is established at the time the project is awarded, and this “project rate” is used to measure foreign currency gains and losses throughout the life of the project for project performance purposes. Periodic remeasurement of foreign exchange gains and losses is required for financial statement reporting. During our review, management found that there were errors in the rates used for remeasurement and related foreign exchange adjustments. In late July 2017, management concluded that this deviation led to the misstatement of foreign exchange gains and losses in certain of our engineering and construction projects and the fair value measurement of certain related ownership interests for the periods presented in the Original Filing.</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July 24, 2017, the Audit Committee of the Board of Directors of the Company, after consideration of relevant facts and circumstances and after consultation with management and PricewaterhouseCoopers LLP, our independent registered public accounting firm, concluded that our unaudited interim condensed consolidated U.S. GAAP financial statements as of March 31, 2017 and for the three months ended March 31, 2017 and prior year periods included for comparison purposes in our Quarterly Report on Form 10-Q as previously filed with the SEC on May 4, 2017, should be restated, and that such financial statements previously filed with the SEC should no longer be relied upon because of errors in such financial statements.</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These errors resulted in the restatement of the Company’s financial statements for the periods presented in the Original Filing. Restatement adjustments were recorded for other income (expense), income from equity affiliates, net interest expense, provision for income taxes and billings in excess of costs as a result of the correction of foreign currency exchange rates used to initially measure these amounts. Restatement adjustments were also recorded for intangible assets, other assets and stockholders’ equity to reflect corrections of exchange rates used in the calculation of the fair value of certain acquired assets. Certain assets acquired were adjusted to reflect the impact of using the correct foreign exchange rates. Adjustments were recorded to cost and expenses to reflect decreased amortization of intangible assets for the period due to the revalued intangible assets.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Condensed Consolidated Statements of Income, the Condensed Consolidated Statements of Comprehensive Income, the Condensed Consolidated Balance Sheets, the Condensed Consolidated Statements of Cash Flows and the Condensed Consolidated States of Changes in Stockholders’ Equity, and Notes 1, 2, 3, 5, 9, 12, 14, 15, 19 and 20 in these financial statements were updated to reflect the restatement. See “Part I—Item 4. Controls and Procedures As restated” herein.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impact of these adjustments on our previously reported results filed on our Condensed Consolidated Financial Statement line items in our Original Filing: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the restatement on our Condensed Consolidated Statements of Operations for the three months ended March 31, 2017 and 2016 are as follows: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4"/>
              </w:rPr>
              <w:t>March 31, 2017</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As Previously</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Restatement</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Reported</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Costs and expenses:</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Cost of service revenue</w:t>
            </w:r>
          </w:p>
        </w:tc>
        <w:tc>
          <w:tcPr>
            <w:tcW w:w="1440" w:type="dxa"/>
            <w:vAlign w:val="bottom"/>
            <w:gridSpan w:val="3"/>
          </w:tcPr>
          <w:p>
            <w:pPr>
              <w:ind w:left="132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2,380.5</w:t>
            </w:r>
          </w:p>
        </w:tc>
        <w:tc>
          <w:tcPr>
            <w:tcW w:w="6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2,377.6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3,345.1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3,342.2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327.4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(263.9)</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net interest expense and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379.7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(261.0)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interest expense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(81.7)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298.0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(261.4)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103.7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(209.5)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 (loss) attributable to TechnipFMC plc</w:t>
            </w:r>
          </w:p>
        </w:tc>
        <w:tc>
          <w:tcPr>
            <w:tcW w:w="1440" w:type="dxa"/>
            <w:vAlign w:val="bottom"/>
            <w:gridSpan w:val="3"/>
          </w:tcPr>
          <w:p>
            <w:pPr>
              <w:ind w:left="132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190.8</w:t>
            </w:r>
          </w:p>
        </w:tc>
        <w:tc>
          <w:tcPr>
            <w:tcW w:w="6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9"/>
              </w:rPr>
              <w:t>Earnings (loss) per share attributable to TechnipFMC plc:</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Basic</w:t>
            </w:r>
          </w:p>
        </w:tc>
        <w:tc>
          <w:tcPr>
            <w:tcW w:w="1440" w:type="dxa"/>
            <w:vAlign w:val="bottom"/>
            <w:gridSpan w:val="3"/>
          </w:tcPr>
          <w:p>
            <w:pPr>
              <w:ind w:left="132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0.41</w:t>
            </w:r>
          </w:p>
        </w:tc>
        <w:tc>
          <w:tcPr>
            <w:tcW w:w="6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4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c>
          <w:tcPr>
            <w:tcW w:w="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468.9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369"/>
        </w:trPr>
        <w:tc>
          <w:tcPr>
            <w:tcW w:w="4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220" w:type="dxa"/>
            <w:vAlign w:val="bottom"/>
          </w:tcPr>
          <w:p>
            <w:pPr>
              <w:spacing w:after="0"/>
              <w:rPr>
                <w:sz w:val="10"/>
                <w:szCs w:val="10"/>
                <w:color w:val="auto"/>
              </w:rPr>
            </w:pPr>
          </w:p>
        </w:tc>
        <w:tc>
          <w:tcPr>
            <w:tcW w:w="11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00" w:type="dxa"/>
            <w:vAlign w:val="bottom"/>
          </w:tcPr>
          <w:p>
            <w:pPr>
              <w:spacing w:after="0"/>
              <w:rPr>
                <w:sz w:val="10"/>
                <w:szCs w:val="10"/>
                <w:color w:val="auto"/>
              </w:rPr>
            </w:pPr>
          </w:p>
        </w:tc>
        <w:tc>
          <w:tcPr>
            <w:tcW w:w="1460" w:type="dxa"/>
            <w:vAlign w:val="bottom"/>
            <w:gridSpan w:val="5"/>
          </w:tcPr>
          <w:p>
            <w:pPr>
              <w:jc w:val="center"/>
              <w:ind w:right="680"/>
              <w:spacing w:after="0" w:line="119" w:lineRule="exact"/>
              <w:rPr>
                <w:sz w:val="20"/>
                <w:szCs w:val="20"/>
                <w:color w:val="auto"/>
              </w:rPr>
            </w:pPr>
            <w:r>
              <w:rPr>
                <w:rFonts w:ascii="Arial" w:cs="Arial" w:eastAsia="Arial" w:hAnsi="Arial"/>
                <w:sz w:val="13"/>
                <w:szCs w:val="13"/>
                <w:b w:val="1"/>
                <w:bCs w:val="1"/>
                <w:color w:val="auto"/>
                <w:w w:val="99"/>
              </w:rPr>
              <w:t>Restatement</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7"/>
              </w:rPr>
              <w:t>Reported</w:t>
            </w:r>
          </w:p>
        </w:tc>
        <w:tc>
          <w:tcPr>
            <w:tcW w:w="26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Adjustments</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ind w:right="111"/>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Income from equity affiliates (Note 9)</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net interest expense and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(Note 15)</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TechnipFMC plc</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4"/>
              </w:rPr>
              <w:t>Earnings per share attributable to TechnipFMC plc (Note 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p>
        </w:tc>
        <w:tc>
          <w:tcPr>
            <w:tcW w:w="660" w:type="dxa"/>
            <w:vAlign w:val="bottom"/>
            <w:gridSpan w:val="3"/>
          </w:tcPr>
          <w:p>
            <w:pPr>
              <w:jc w:val="right"/>
              <w:ind w:right="111"/>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350"/>
        </w:trPr>
        <w:tc>
          <w:tcPr>
            <w:tcW w:w="454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the restatement on our Condensed Consolidated Statements of Comprehensive Income for the three months ended March 31, 2017 and 2016 are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6"/>
              </w:rPr>
              <w:t>March 31, 2017</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w w:val="95"/>
              </w:rPr>
              <w:t>As Previously</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Restatement</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1"/>
        </w:trPr>
        <w:tc>
          <w:tcPr>
            <w:tcW w:w="4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Reported</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(209.5)</w:t>
            </w:r>
          </w:p>
        </w:tc>
        <w:tc>
          <w:tcPr>
            <w:tcW w:w="7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261.3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8"/>
                <w:szCs w:val="18"/>
                <w:color w:val="auto"/>
              </w:rPr>
              <w:t>(209.5)</w:t>
            </w: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TechnipFMC plc</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257.6</w:t>
            </w:r>
          </w:p>
        </w:tc>
        <w:tc>
          <w:tcPr>
            <w:tcW w:w="6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(209.5)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369"/>
        </w:trPr>
        <w:tc>
          <w:tcPr>
            <w:tcW w:w="4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4"/>
              </w:rPr>
              <w:t>March 31, 2016</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0"/>
                <w:szCs w:val="10"/>
                <w:color w:val="auto"/>
              </w:rPr>
            </w:pPr>
          </w:p>
        </w:tc>
        <w:tc>
          <w:tcPr>
            <w:tcW w:w="1080" w:type="dxa"/>
            <w:vAlign w:val="bottom"/>
            <w:gridSpan w:val="5"/>
          </w:tcPr>
          <w:p>
            <w:pPr>
              <w:jc w:val="right"/>
              <w:ind w:right="240"/>
              <w:spacing w:after="0" w:line="119" w:lineRule="exact"/>
              <w:rPr>
                <w:sz w:val="20"/>
                <w:szCs w:val="20"/>
                <w:color w:val="auto"/>
              </w:rPr>
            </w:pPr>
            <w:r>
              <w:rPr>
                <w:rFonts w:ascii="Arial" w:cs="Arial" w:eastAsia="Arial" w:hAnsi="Arial"/>
                <w:sz w:val="13"/>
                <w:szCs w:val="13"/>
                <w:b w:val="1"/>
                <w:bCs w:val="1"/>
                <w:color w:val="auto"/>
                <w:w w:val="95"/>
              </w:rPr>
              <w:t>As Previously</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Restatement</w:t>
            </w:r>
          </w:p>
        </w:tc>
        <w:tc>
          <w:tcPr>
            <w:tcW w:w="8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71"/>
        </w:trPr>
        <w:tc>
          <w:tcPr>
            <w:tcW w:w="4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w w:val="97"/>
              </w:rPr>
              <w:t>Reported</w:t>
            </w:r>
          </w:p>
        </w:tc>
        <w:tc>
          <w:tcPr>
            <w:tcW w:w="2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1"/>
              </w:rPr>
              <w:t>Adjustments</w:t>
            </w:r>
          </w:p>
        </w:tc>
        <w:tc>
          <w:tcPr>
            <w:tcW w:w="720" w:type="dxa"/>
            <w:vAlign w:val="bottom"/>
            <w:gridSpan w:val="2"/>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vMerge w:val="restart"/>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TechnipFMC plc</w:t>
            </w:r>
          </w:p>
        </w:tc>
        <w:tc>
          <w:tcPr>
            <w:tcW w:w="104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the restatement on our Condensed Consolidated Balance Sheets as of March 31, 2017 and December 31, 2016 are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380" w:type="dxa"/>
            <w:vAlign w:val="bottom"/>
          </w:tcPr>
          <w:p>
            <w:pPr>
              <w:spacing w:after="0"/>
              <w:rPr>
                <w:sz w:val="10"/>
                <w:szCs w:val="10"/>
                <w:color w:val="auto"/>
              </w:rPr>
            </w:pP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Restatement</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61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Reported</w:t>
            </w:r>
          </w:p>
        </w:tc>
        <w:tc>
          <w:tcPr>
            <w:tcW w:w="3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519.4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29,570.5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29,615.9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Billings in excess of costs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3,478.7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3,701.1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11,497.0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11,719.4</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Accrued pension and other post-retirement benefits, less current portion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351.2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Retained earnings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2,992.2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3,397.4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(582.2)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Total TechnipFMC plc stockholders’ equity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13,552.8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13,375.8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29,570.5</w:t>
            </w:r>
          </w:p>
        </w:tc>
        <w:tc>
          <w:tcPr>
            <w:tcW w:w="58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$ 29,615.9</w:t>
            </w:r>
          </w:p>
        </w:tc>
        <w:tc>
          <w:tcPr>
            <w:tcW w:w="0" w:type="dxa"/>
            <w:vAlign w:val="bottom"/>
          </w:tcPr>
          <w:p>
            <w:pPr>
              <w:spacing w:after="0"/>
              <w:rPr>
                <w:sz w:val="1"/>
                <w:szCs w:val="1"/>
                <w:color w:val="auto"/>
              </w:rPr>
            </w:pPr>
          </w:p>
        </w:tc>
      </w:tr>
      <w:tr>
        <w:trPr>
          <w:trHeight w:val="392"/>
        </w:trPr>
        <w:tc>
          <w:tcPr>
            <w:tcW w:w="6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380" w:type="dxa"/>
            <w:vAlign w:val="bottom"/>
          </w:tcPr>
          <w:p>
            <w:pPr>
              <w:spacing w:after="0"/>
              <w:rPr>
                <w:sz w:val="10"/>
                <w:szCs w:val="10"/>
                <w:color w:val="auto"/>
              </w:rPr>
            </w:pP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Restatement</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61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Reported</w:t>
            </w:r>
          </w:p>
        </w:tc>
        <w:tc>
          <w:tcPr>
            <w:tcW w:w="3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549.3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18,699.1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18,689.7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Billings in excess of costs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3,364.5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3,323.0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10,930.4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10,888.9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Accrued pension and other post-retirement benefits, less current portion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Retained earnings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2,801.4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3,416.1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(582.2)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(1,057.4)</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Total TechnipFMC plc stockholders’ equity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5,091.1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5,123.6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18,699.1</w:t>
            </w:r>
          </w:p>
        </w:tc>
        <w:tc>
          <w:tcPr>
            <w:tcW w:w="58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$ 18,689.7</w:t>
            </w:r>
          </w:p>
        </w:tc>
        <w:tc>
          <w:tcPr>
            <w:tcW w:w="0" w:type="dxa"/>
            <w:vAlign w:val="bottom"/>
          </w:tcPr>
          <w:p>
            <w:pPr>
              <w:spacing w:after="0"/>
              <w:rPr>
                <w:sz w:val="1"/>
                <w:szCs w:val="1"/>
                <w:color w:val="auto"/>
              </w:rPr>
            </w:pPr>
          </w:p>
        </w:tc>
      </w:tr>
      <w:tr>
        <w:trPr>
          <w:trHeight w:val="365"/>
        </w:trPr>
        <w:tc>
          <w:tcPr>
            <w:tcW w:w="6100" w:type="dxa"/>
            <w:vAlign w:val="bottom"/>
          </w:tcPr>
          <w:p>
            <w:pPr>
              <w:ind w:left="516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the restatement on our Condensed Consolidated Statements of Cash Flows for the three months ended March 31, 2017 and 2016 are as follows: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6"/>
              </w:rPr>
              <w:t>March 31, 2017</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Restatement</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(required) by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194.3</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(209.5)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Deferred income tax provision (benefit)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55.9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Advance payments and billings in excess of costs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(220.6)</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263.9</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355"/>
        </w:trPr>
        <w:tc>
          <w:tcPr>
            <w:tcW w:w="4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6"/>
              </w:rPr>
              <w:t>March 31, 2016</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Restatement</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(required) by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147.3</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provision (benefit)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 payments and billings in excess of costs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effects of the restatement on our Condensed Consolidated Statements of Changes in Stockholders’ Equity as of March 31, 2017 and December 31, 2016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Ordinary</w:t>
            </w:r>
          </w:p>
        </w:tc>
        <w:tc>
          <w:tcPr>
            <w:tcW w:w="10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Capital in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Shares Held in</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Treasury and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Excess of Par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Employee</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Value of</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26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Income</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Trust</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41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 December 31, 2016 as previously</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reported</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114.7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$2,801.4</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5,079.4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Restatement 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614.7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 as restated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114.7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2,694.</w:t>
            </w:r>
            <w:r>
              <w:rPr>
                <w:rFonts w:ascii="Arial" w:cs="Arial" w:eastAsia="Arial" w:hAnsi="Arial"/>
                <w:sz w:val="18"/>
                <w:szCs w:val="18"/>
                <w:u w:val="single" w:color="auto"/>
                <w:color w:val="auto"/>
              </w:rPr>
              <w:t>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3,416.1</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5,111.9</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w w:val="92"/>
              </w:rPr>
              <w:t>Balance as of March 31, 2017 as previously reported</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ind w:left="13"/>
              <w:spacing w:after="0"/>
              <w:rPr>
                <w:sz w:val="20"/>
                <w:szCs w:val="20"/>
                <w:color w:val="auto"/>
              </w:rPr>
            </w:pPr>
            <w:r>
              <w:rPr>
                <w:rFonts w:ascii="Arial" w:cs="Arial" w:eastAsia="Arial" w:hAnsi="Arial"/>
                <w:sz w:val="18"/>
                <w:szCs w:val="18"/>
                <w:color w:val="auto"/>
                <w:w w:val="88"/>
              </w:rPr>
              <w:t>466.6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10,507.6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$2,992.2</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(408.2)</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13,559.2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Restatement Adjustments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b w:val="1"/>
                <w:bCs w:val="1"/>
                <w:color w:val="auto"/>
              </w:rPr>
              <w:t>Balance as March 31, 2017 as restated</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center"/>
              <w:ind w:left="13"/>
              <w:spacing w:after="0"/>
              <w:rPr>
                <w:sz w:val="20"/>
                <w:szCs w:val="20"/>
                <w:color w:val="auto"/>
              </w:rPr>
            </w:pPr>
            <w:r>
              <w:rPr>
                <w:rFonts w:ascii="Arial" w:cs="Arial" w:eastAsia="Arial" w:hAnsi="Arial"/>
                <w:sz w:val="18"/>
                <w:szCs w:val="18"/>
                <w:color w:val="auto"/>
                <w:w w:val="88"/>
              </w:rPr>
              <w:t>466.6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3,397.4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13,382.2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17"/>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the restatement on our reportable segments for the three months ended March 31, 2017 and 2016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6"/>
              </w:rPr>
              <w:t>March 31, 2017</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Restatement</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404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1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40" w:type="dxa"/>
            <w:vAlign w:val="bottom"/>
            <w:gridSpan w:val="3"/>
          </w:tcPr>
          <w:p>
            <w:pPr>
              <w:spacing w:after="0" w:line="176" w:lineRule="exact"/>
              <w:rPr>
                <w:sz w:val="20"/>
                <w:szCs w:val="20"/>
                <w:color w:val="auto"/>
              </w:rPr>
            </w:pPr>
            <w:r>
              <w:rPr>
                <w:rFonts w:ascii="Arial" w:cs="Arial" w:eastAsia="Arial" w:hAnsi="Arial"/>
                <w:sz w:val="18"/>
                <w:szCs w:val="18"/>
                <w:color w:val="auto"/>
              </w:rPr>
              <w:t>Segment operating profit (loss):</w:t>
            </w: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Onshore/Offshore</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Total segment operating profit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175.5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Corporate items:</w:t>
            </w:r>
          </w:p>
        </w:tc>
        <w:tc>
          <w:tcPr>
            <w:tcW w:w="2820" w:type="dxa"/>
            <w:vAlign w:val="bottom"/>
            <w:tcBorders>
              <w:bottom w:val="single" w:sz="8" w:color="CCEEFF"/>
            </w:tcBorders>
            <w:gridSpan w:val="2"/>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Corporate income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(263.9)</w:t>
            </w: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Total corporate items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122.5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(264.3)</w:t>
            </w: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342"/>
        </w:trPr>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6"/>
              </w:rPr>
              <w:t>March 31, 2016</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Previously</w:t>
            </w:r>
          </w:p>
        </w:tc>
        <w:tc>
          <w:tcPr>
            <w:tcW w:w="4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Restatement</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404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1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40" w:type="dxa"/>
            <w:vAlign w:val="bottom"/>
            <w:gridSpan w:val="3"/>
          </w:tcPr>
          <w:p>
            <w:pPr>
              <w:spacing w:after="0" w:line="176" w:lineRule="exact"/>
              <w:rPr>
                <w:sz w:val="20"/>
                <w:szCs w:val="20"/>
                <w:color w:val="auto"/>
              </w:rPr>
            </w:pPr>
            <w:r>
              <w:rPr>
                <w:rFonts w:ascii="Arial" w:cs="Arial" w:eastAsia="Arial" w:hAnsi="Arial"/>
                <w:sz w:val="18"/>
                <w:szCs w:val="18"/>
                <w:color w:val="auto"/>
              </w:rPr>
              <w:t>Segment operating profit (loss):</w:t>
            </w: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Onshore/Offshore</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Total segment operating profit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254.9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Corporate items:</w:t>
            </w:r>
          </w:p>
        </w:tc>
        <w:tc>
          <w:tcPr>
            <w:tcW w:w="2820" w:type="dxa"/>
            <w:vAlign w:val="bottom"/>
            <w:tcBorders>
              <w:bottom w:val="single" w:sz="8" w:color="CCEEFF"/>
            </w:tcBorders>
            <w:gridSpan w:val="2"/>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Corporate income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corporate items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194.8</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MERGER OF FMC TECHNOLOGIES AND TECHNIP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Merger</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each share of common stock of FMC Technologies (the “FMCTI Shares”), other than FMCTI Shares owned by FMC Technologies, TechnipFMC, Merger Sub or their wholly-owned subsidiaries, were exchanged for 1.0 ordinary share of TechnipFMC, subject to the terms of the definitive business combination agreement.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Under the acquisition method of accounting, Technip was identified as the accounting acquirer and acquired a 100% interest in FMC Technologies.</w:t>
      </w:r>
    </w:p>
    <w:p>
      <w:pPr>
        <w:spacing w:after="0" w:line="23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Merger of FMC Technologies and Technip (the “Merger”) is expected to create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will bring about the ability of the combined company to</w:t>
      </w:r>
    </w:p>
    <w:p>
      <w:pPr>
        <w:ind w:right="260" w:firstLine="8"/>
        <w:spacing w:after="0" w:line="261"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standardize its product and service offerings to customers, (ii) reduce costs to customers, and (iii) provide integrated product offerings to the oil and gas industry with the aim of innovating the markets in which the combined company operates.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incurred $54.7 million in merger transaction and integration costs for the three months ended March 31, 2017. No similar costs were incurred for the comparable prior year quarter.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FMC Technologies as Accounting Acquiree</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FMC Technologies is a global provider of technology solutions for the energy 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Transferred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FMC Technologies, Inc. shares subject to exchange as of January 16, 2017</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 xml:space="preserve">FMC Technologies, Inc. exchange ratio </w:t>
            </w:r>
            <w:r>
              <w:rPr>
                <w:rFonts w:ascii="Arial" w:cs="Arial" w:eastAsia="Arial" w:hAnsi="Arial"/>
                <w:sz w:val="15"/>
                <w:szCs w:val="15"/>
                <w:color w:val="auto"/>
              </w:rPr>
              <w:t>(1)</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Shares of TechnipFMC issued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 xml:space="preserve">Value per share of Technip as of January 16, 2017 </w:t>
            </w:r>
            <w:r>
              <w:rPr>
                <w:rFonts w:ascii="Arial" w:cs="Arial" w:eastAsia="Arial" w:hAnsi="Arial"/>
                <w:sz w:val="15"/>
                <w:szCs w:val="15"/>
                <w:color w:val="auto"/>
              </w:rPr>
              <w:t>(2)</w:t>
            </w:r>
          </w:p>
        </w:tc>
        <w:tc>
          <w:tcPr>
            <w:tcW w:w="1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8,170.7</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3"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As the calculation is deemed to reflect a share capital increase of the accounting acquirer, the FMC Technologies, Inc. exchange ratio (1 share of TechnipFMC for 1 share of FMC Technologies, Inc. as provided in the business combination agreement) is adjusted by dividing the FMC Technologies exchange ratio by the Technip exchange ratio (2 shares of TechnipFMC for 1 share of Technip as provided in the business combination agreement), i.e., 1 / 2 = 0.5 in order to reflect the number of shares of Technip that FMC Technologies stockholders would have received if Technip was to have issued its own shares.</w:t>
      </w:r>
    </w:p>
    <w:p>
      <w:pPr>
        <w:spacing w:after="0" w:line="3"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Closing price of Technip’s ordinary shares on Euronext Paris on January 16, 2017 in Euro converted at the Euro to U.S. dollar exchange rate of $1.0594 on January 16, 2017.</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table summarizes the preliminary fair values of the assets acquired and liabilities assumed at the acquisition date. The Company’s purchase price allocation is subject to revision as additional information about fair value of assets and liabilities becomes available. Additional information that existed as of the acquisition date but at that time was unknown to the Company may become known to the Company during the remainder of the measurement period. The final purchase price allocation will be based on final appraisals and other analysis of fair values of acquired assets and liabilities.</w:t>
      </w:r>
    </w:p>
    <w:p>
      <w:pPr>
        <w:spacing w:after="0" w:line="173"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6350</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Assets:</w:t>
      </w:r>
    </w:p>
    <w:p>
      <w:pPr>
        <w:spacing w:after="0" w:line="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Cash</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$1,479.2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764.8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1,390.3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7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assets acquired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6,888.7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Liabilities:</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and current portion of long-term debt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Accounts payable, trade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payments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Long-term debt, less current portion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1,466.6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pension and other post-retirement benefits, less current portion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shd w:val="clear" w:color="auto" w:fill="CCEEFF"/>
          </w:tcPr>
          <w:p>
            <w:pPr>
              <w:spacing w:after="0"/>
              <w:rPr>
                <w:sz w:val="18"/>
                <w:szCs w:val="18"/>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Total liabilities assumed</w:t>
            </w:r>
          </w:p>
        </w:tc>
        <w:tc>
          <w:tcPr>
            <w:tcW w:w="7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assets acquired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2,878.7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8,170.7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Allocation of Goodwill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Goodwill is preliminary due to the draft status of the purchase valuation. The allocation to the reporting segments based on the draft valuation is as follows:</w:t>
      </w:r>
    </w:p>
    <w:p>
      <w:pPr>
        <w:spacing w:after="0" w:line="25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Allocated</w:t>
            </w: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44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Subsea</w:t>
            </w:r>
          </w:p>
        </w:tc>
        <w:tc>
          <w:tcPr>
            <w:tcW w:w="4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$3,078.7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Onshore/Offshore</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1,677.0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4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5,292.0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400" w:type="dxa"/>
            <w:vAlign w:val="bottom"/>
            <w:vMerge w:val="restart"/>
          </w:tcPr>
          <w:p>
            <w:pPr>
              <w:jc w:val="right"/>
              <w:ind w:right="3010"/>
              <w:spacing w:after="0"/>
              <w:rPr>
                <w:sz w:val="20"/>
                <w:szCs w:val="20"/>
                <w:color w:val="auto"/>
              </w:rPr>
            </w:pPr>
            <w:r>
              <w:rPr>
                <w:rFonts w:ascii="Arial" w:cs="Arial" w:eastAsia="Arial" w:hAnsi="Arial"/>
                <w:sz w:val="18"/>
                <w:szCs w:val="18"/>
                <w:color w:val="auto"/>
              </w:rPr>
              <w:t>21</w:t>
            </w: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Identifiable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identifiable intangible assets acquired include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estimated useful lives)</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4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identifiable intangible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1,390.3</w:t>
            </w: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FMC Technologies’ results of operations have been included in our financial statements for periods subsequent to the consummation of the Merger on January 16, 2017. FMC Technologies contributed revenues and an operating loss of $739.4 million and $80.9 million, respectively, for the period from January 17, 2017 through March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Impact of the Merger (unaudited)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unaudited supplemental pro forma results present consolidated information as if the Merger had been completed as of January 1, 2016.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2016, nor are they indicative of future results. For comparative purposes, the weighted average shares outstanding used for the diluted earnings per share calculation for the three months ended March 31, 2017 was also used to calculate the diluted earnings per share for the three months ended March 31, 2016.</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2017</w:t>
            </w:r>
          </w:p>
        </w:tc>
        <w:tc>
          <w:tcPr>
            <w:tcW w:w="4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w w:val="96"/>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Pro Forma</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As Restated</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income (loss) attributable to TechnipFMC adjusted for dilutive effects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65"/>
        </w:trPr>
        <w:tc>
          <w:tcPr>
            <w:tcW w:w="6200" w:type="dxa"/>
            <w:vAlign w:val="bottom"/>
          </w:tcPr>
          <w:p>
            <w:pPr>
              <w:ind w:left="4700"/>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Effective January 1, 2017, we adopted Accounting Standards Update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Among other amendments, this update requires that excess tax benefits or deficiencies be recognized as income tax expense or benefit in the income statement and eliminates the requirement to reclassify excess tax benefits and deficiencies from operating activities to financing activities in the statement of cash flows. This updated guidance also gives an entity the election to either (i) estimate the forfeiture rate of employee stock-based awards or (ii) account for forfeitures as they occur. We elected to retrospectively classify excess tax benefits and deficiencies as operating activity and these amounts, which were immaterial for all periods presented, are reflected in the income taxes payable, net line item in the accompanying condensed consolidated statement of cash flows. In addition, we elected to continue to estimate forfeitures on the grant date to account for the estimated number of awards for which the requisite service period will not be rendered. The adoption of this update did not have a material impact on our consolidated financial statements.</w:t>
      </w:r>
    </w:p>
    <w:p>
      <w:pPr>
        <w:spacing w:after="0" w:line="16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Effective January 1, 2017, we adopted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This update requires in scope inventory to be measured at the lower of cost or net realizable value rather than at the lower of cost or market under existing guidance. We adopted the updated guidance prospectively. The adoption of this update did not have a material impact on our consolidated financial statements.</w:t>
      </w:r>
    </w:p>
    <w:p>
      <w:pPr>
        <w:spacing w:after="0" w:line="16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Effective January 1, 2017, we adopted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This update states that substantial doubt exists if it is probable that an entity will be unable to meet its current and future obligations. Disclosures are required if conditions give rise to substantial doubt. However, management will need to assess if its plans will alleviate substantial doubt to determine the specific disclosures. We adopted this guidance prospectively. The adoption of this update concerns disclosure only as it relates to our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update requires an entity to recognize revenue to depict the transfer of promised goods or services to customers in an amount that reflects the consideration to which the entity expects to be entitled in exchange for those goods or services. The ASU will supersede most existing GAAP related to revenue recognition and will supersede some cost guidance in existing GAAP related to construction-type and production-type contract accounting. Additionally, the ASU will significantly increase disclosures related to revenue recognition. In August 2015, the FASB issued ASU No. 2015-14 which deferred the effective date of ASU No. 2014-09 by one year, and as a result, is now effective for us on January 1, 2018. In March 2016, the FASB issued ASU No. 2016-08, “Principal versus Agent Considerations (Reporting Revenue Gross versus Net)” which clarifies the implementation guidance on principal versus agent considerations. Early application is permitted to the original effective date of January 1, 2017. Entities are permitted to apply the amendments either retrospectively to each prior reporting period presented or retrospectively with the cumulative effect of initially applying the ASU recognized at the date of initial application.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 and have not yet determined which transition method we will utilize upon adoption on the effective date.</w:t>
      </w:r>
    </w:p>
    <w:p>
      <w:pPr>
        <w:spacing w:after="0" w:line="16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eliminates the requirement to disclose significant assumptions and methods used to estimate the fair value of financial instruments measured at amortized cost. The updated guidance further requires the use of exit price notion when measuring the fair value of financial instruments for disclosure purposes. The amendments in this ASU are effective for us on January 1, 2018. All amendments are required to be adopted on a modified retrospective basis, with two exceptions. The amendments related to equity investments without readily determinable fair values and the requirement to use exit price notion are required to be adopted prospectively. Early adoption is not permitted. We are currently evaluating the impact of this ASU on our consolidated financial statements.</w:t>
      </w:r>
    </w:p>
    <w:p>
      <w:pPr>
        <w:spacing w:after="0" w:line="1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update requires that a lessee recognize in the statement of financial position a liability to make lease payments and a right-of-use asset representing its right to use the underlying asset for the lease term. For leases with a term of 12 months or less, a lessee is permitted to make an accounting policy election by class of underlying asset not to recognize lease assets and lease liabilities.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w:t>
      </w:r>
      <w:r>
        <w:rPr>
          <w:rFonts w:ascii="Arial" w:cs="Arial" w:eastAsia="Arial" w:hAnsi="Arial"/>
          <w:sz w:val="17"/>
          <w:szCs w:val="17"/>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permitted. We are currently evaluating the impact of this ASU on our consolidated financial statements.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2016, the FASB issued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 to the statement of cash flows. The amendments in this ASU are effective for us on January 1, 2018 and are required to be adopted retrospectively. For issues that are impracticable to adopt retrospectively, the amendments may be adopted prospectively as of the earliest date practicable. Early adoption is permitted. We are currently evaluating the impact of this ASU on our consolidated statements of cash flows.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effective for us on January 1, 2018 and are required to be adopted on a modified retrospective basis. Early adoption is permitted. We are currently evaluating the impact of this ASU on our consolidated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effective for us on January 1, 2018 and are required to be adopted prospectively. Early adoption is permitted. We are currently evaluating the impact of this ASU on our consolidated financial statements.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This update eliminates Step 2 from the goodwill impairment test. An annual or interim goodwill test should be performed by comparing the fair value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a reporting unit with its carrying amount. Income tax effects from any tax deductible goodwill on the carrying amount of the reporting unit should also be considered when measuring any applicable goodwill impairment loss. This updated guidance also eliminates the requirements for any reporting unit with a zero or negative carrying amount to perform a qualitative assessment and if it fails that qualitative assessment, to perform Step 2 of the goodwill impairment test. Any goodwill amount allocated to a reporting unit with a zero or negative carrying amount net of assets is required to be disclosed. The amendments in this ASU are effective for us January 1, 2020 and are required to be adopted prospectively. Early adoption is permitted. We are currently evaluating the impact of this ASU on our consolidated financial statements.</w:t>
      </w:r>
    </w:p>
    <w:p>
      <w:pPr>
        <w:spacing w:after="0" w:line="193"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“Clarifying the Scope of Asset Derecognition Guidance and Accounting for Partial Sales of Nonfinancial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It defines an in-substance nonfinancial asset, unifies guidance related to partial sales of nonfinancial assets, eliminates rules specifically addressing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real estate, removes exceptions to the financial asset derecognition model, and clarifies the accounting for contributions of nonfinancial assets to joint ventures. The amendments in this ASU are effective for us January 1, 2018 and are required to be adopted with either a full retrospective approach or a modified retrospective approach. We are currently evaluating the impact of this ASU on our consolidated financial statements.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The update requires employers to disaggregate the service cost component from the other components of net benefit cost and disclose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Early adoption is permitted.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We are currently evaluating the impact of this ASU on our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(loss) per share calculation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As Restated</w:t>
            </w:r>
          </w:p>
        </w:tc>
        <w:tc>
          <w:tcPr>
            <w:tcW w:w="7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As Restated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TechnipFMC plc</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After-tax interest expense related to dilutive shares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TechnipFMC plc adjusted for dilutive effects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options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Dilutive effect of performance shares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2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convertible bonds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shares and dilutive securities</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TechnipFMC plc</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Diluted earnings (loss) per share attributable to TechnipFMC plc</w:t>
            </w: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720" w:type="dxa"/>
            <w:vAlign w:val="bottom"/>
          </w:tcPr>
          <w:p>
            <w:pPr>
              <w:jc w:val="right"/>
              <w:ind w:right="584"/>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4700"/>
              <w:spacing w:after="0"/>
              <w:rPr>
                <w:sz w:val="20"/>
                <w:szCs w:val="20"/>
                <w:color w:val="auto"/>
              </w:rPr>
            </w:pPr>
            <w:r>
              <w:rPr>
                <w:rFonts w:ascii="Arial" w:cs="Arial" w:eastAsia="Arial" w:hAnsi="Arial"/>
                <w:sz w:val="18"/>
                <w:szCs w:val="18"/>
                <w:color w:val="auto"/>
              </w:rPr>
              <w:t>25</w:t>
            </w: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RESTRUCTURING AND IMPAIRMENT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impairment expense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vMerge w:val="continue"/>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Onshore/Offshore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Corporate and other</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restructuring and impairment expense</w:t>
            </w:r>
          </w:p>
        </w:tc>
        <w:tc>
          <w:tcPr>
            <w:tcW w:w="1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Restructuring</w:t>
      </w:r>
      <w:r>
        <w:rPr>
          <w:rFonts w:ascii="Arial" w:cs="Arial" w:eastAsia="Arial" w:hAnsi="Arial"/>
          <w:sz w:val="16"/>
          <w:szCs w:val="16"/>
          <w:color w:val="auto"/>
        </w:rPr>
        <w:t>—As a result of the decline in crude oil prices and its effect on the demand for products and services in the oilfield services industry worldwide,</w:t>
      </w:r>
      <w:r>
        <w:rPr>
          <w:rFonts w:ascii="Arial" w:cs="Arial" w:eastAsia="Arial" w:hAnsi="Arial"/>
          <w:sz w:val="16"/>
          <w:szCs w:val="16"/>
          <w:i w:val="1"/>
          <w:iCs w:val="1"/>
          <w:color w:val="auto"/>
        </w:rPr>
        <w:t xml:space="preserve"> </w:t>
      </w:r>
      <w:r>
        <w:rPr>
          <w:rFonts w:ascii="Arial" w:cs="Arial" w:eastAsia="Arial" w:hAnsi="Arial"/>
          <w:sz w:val="16"/>
          <w:szCs w:val="16"/>
          <w:color w:val="auto"/>
        </w:rPr>
        <w:t>we initiated a company-wide reduction in workforce and facility consolidation intended to reduce costs and better align our workforce with current and anticipated activity levels, which resulted in the continued recognition of severance costs relating to termination benefits and other restructuring charges.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Asset impairments—</w:t>
      </w:r>
      <w:r>
        <w:rPr>
          <w:rFonts w:ascii="Arial" w:cs="Arial" w:eastAsia="Arial" w:hAnsi="Arial"/>
          <w:sz w:val="18"/>
          <w:szCs w:val="18"/>
          <w:color w:val="auto"/>
        </w:rPr>
        <w:t>We conduct impairment tests on long-lived assets whenever events or changes in circumstances indicate the carrying value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millions)</w:t>
            </w:r>
          </w:p>
        </w:tc>
        <w:tc>
          <w:tcPr>
            <w:tcW w:w="4040" w:type="dxa"/>
            <w:vAlign w:val="bottom"/>
            <w:gridSpan w:val="5"/>
          </w:tcPr>
          <w:p>
            <w:pPr>
              <w:ind w:left="3300"/>
              <w:spacing w:after="0"/>
              <w:rPr>
                <w:sz w:val="20"/>
                <w:szCs w:val="20"/>
                <w:color w:val="auto"/>
              </w:rPr>
            </w:pPr>
            <w:r>
              <w:rPr>
                <w:rFonts w:ascii="Arial" w:cs="Arial" w:eastAsia="Arial" w:hAnsi="Arial"/>
                <w:sz w:val="14"/>
                <w:szCs w:val="14"/>
                <w:b w:val="1"/>
                <w:bCs w:val="1"/>
                <w:color w:val="auto"/>
              </w:rPr>
              <w:t>March 31,</w:t>
            </w:r>
          </w:p>
        </w:tc>
        <w:tc>
          <w:tcPr>
            <w:tcW w:w="1500" w:type="dxa"/>
            <w:vAlign w:val="bottom"/>
            <w:gridSpan w:val="6"/>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39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Work in process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1,035.2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Valuation adjustments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380"/>
              <w:spacing w:after="0"/>
              <w:rPr>
                <w:sz w:val="20"/>
                <w:szCs w:val="20"/>
                <w:color w:val="auto"/>
              </w:rPr>
            </w:pPr>
            <w:r>
              <w:rPr>
                <w:rFonts w:ascii="Arial" w:cs="Arial" w:eastAsia="Arial" w:hAnsi="Arial"/>
                <w:sz w:val="18"/>
                <w:szCs w:val="18"/>
                <w:color w:val="auto"/>
              </w:rPr>
              <w:t>Inventories, net</w:t>
            </w:r>
          </w:p>
        </w:tc>
        <w:tc>
          <w:tcPr>
            <w:tcW w:w="3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983.5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OTHER CURRENT ASSETS</w:t>
            </w: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20" w:type="dxa"/>
            <w:vAlign w:val="bottom"/>
            <w:gridSpan w:val="2"/>
            <w:vMerge w:val="continue"/>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rPr>
              <w:t>Other current assets consisted of the following:</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5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millions)</w:t>
            </w:r>
          </w:p>
        </w:tc>
        <w:tc>
          <w:tcPr>
            <w:tcW w:w="3300" w:type="dxa"/>
            <w:vAlign w:val="bottom"/>
          </w:tcPr>
          <w:p>
            <w:pPr>
              <w:spacing w:after="0"/>
              <w:rPr>
                <w:sz w:val="24"/>
                <w:szCs w:val="24"/>
                <w:color w:val="auto"/>
              </w:rPr>
            </w:pPr>
          </w:p>
        </w:tc>
        <w:tc>
          <w:tcPr>
            <w:tcW w:w="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Pr>
          <w:p>
            <w:pPr>
              <w:spacing w:after="0"/>
              <w:rPr>
                <w:sz w:val="24"/>
                <w:szCs w:val="2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added tax receivables</w:t>
            </w:r>
          </w:p>
        </w:tc>
        <w:tc>
          <w:tcPr>
            <w:tcW w:w="34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tax receivables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183.8</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313.0</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0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1,090.4</w:t>
            </w:r>
          </w:p>
        </w:tc>
        <w:tc>
          <w:tcPr>
            <w:tcW w:w="7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300" w:type="dxa"/>
            <w:vAlign w:val="bottom"/>
            <w:vMerge w:val="restart"/>
          </w:tcPr>
          <w:p>
            <w:pPr>
              <w:jc w:val="right"/>
              <w:ind w:right="1939"/>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METHOD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b w:val="1"/>
                <w:bCs w:val="1"/>
                <w:color w:val="auto"/>
                <w:w w:val="99"/>
              </w:rPr>
              <w:t>March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9"/>
              </w:rPr>
              <w:t>As Restated</w:t>
            </w:r>
            <w:r>
              <w:rPr>
                <w:rFonts w:ascii="Arial" w:cs="Arial" w:eastAsia="Arial" w:hAnsi="Arial"/>
                <w:sz w:val="12"/>
                <w:szCs w:val="12"/>
                <w:b w:val="1"/>
                <w:bCs w:val="1"/>
                <w:color w:val="auto"/>
                <w:w w:val="89"/>
              </w:rPr>
              <w:t>(1)</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$ 9.4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Onshore/Offshore</w:t>
            </w:r>
          </w:p>
        </w:tc>
        <w:tc>
          <w:tcPr>
            <w:tcW w:w="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Income from equity affiliates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$ 9.4</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1899" w:hanging="5612"/>
        <w:spacing w:after="0" w:line="449" w:lineRule="auto"/>
        <w:tabs>
          <w:tab w:leader="none" w:pos="45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Restated balances related to adjustments to equity interests due to the use of incorrect foreign exchange rates. 27</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7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Accruals on completed contracts</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Deferred income on contracts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Contingencies related to contracts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Other taxes payable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financial liability</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Other</w:t>
            </w:r>
          </w:p>
        </w:tc>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805.6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current liabilities</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2,190.3</w:t>
            </w:r>
          </w:p>
        </w:tc>
        <w:tc>
          <w:tcPr>
            <w:tcW w:w="2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DEBT</w:t>
            </w: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860" w:type="dxa"/>
            <w:vAlign w:val="bottom"/>
            <w:gridSpan w:val="2"/>
            <w:vMerge w:val="continue"/>
          </w:tcPr>
          <w:p>
            <w:pPr>
              <w:spacing w:after="0"/>
              <w:rPr>
                <w:sz w:val="24"/>
                <w:szCs w:val="24"/>
                <w:color w:val="auto"/>
              </w:rPr>
            </w:pP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40" w:type="dxa"/>
            <w:vAlign w:val="bottom"/>
            <w:gridSpan w:val="3"/>
          </w:tcPr>
          <w:p>
            <w:pPr>
              <w:spacing w:after="0"/>
              <w:rPr>
                <w:sz w:val="20"/>
                <w:szCs w:val="20"/>
                <w:color w:val="auto"/>
              </w:rPr>
            </w:pPr>
            <w:r>
              <w:rPr>
                <w:rFonts w:ascii="Arial" w:cs="Arial" w:eastAsia="Arial" w:hAnsi="Arial"/>
                <w:sz w:val="18"/>
                <w:szCs w:val="18"/>
                <w:color w:val="auto"/>
              </w:rPr>
              <w:t>Long-term debt consisted of the following: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9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millions)</w:t>
            </w: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1"/>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Bilateral credit facilities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Synthetic bonds due 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441.5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bonds due 2017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2.00%</w:t>
            </w:r>
          </w:p>
        </w:tc>
        <w:tc>
          <w:tcPr>
            <w:tcW w:w="608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3.45%</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5.00%</w:t>
            </w:r>
          </w:p>
        </w:tc>
        <w:tc>
          <w:tcPr>
            <w:tcW w:w="6080" w:type="dxa"/>
            <w:vAlign w:val="bottom"/>
          </w:tcPr>
          <w:p>
            <w:pPr>
              <w:ind w:left="20"/>
              <w:spacing w:after="0"/>
              <w:rPr>
                <w:sz w:val="20"/>
                <w:szCs w:val="20"/>
                <w:color w:val="auto"/>
              </w:rPr>
            </w:pPr>
            <w:r>
              <w:rPr>
                <w:rFonts w:ascii="Arial" w:cs="Arial" w:eastAsia="Arial" w:hAnsi="Arial"/>
                <w:sz w:val="18"/>
                <w:szCs w:val="18"/>
                <w:color w:val="auto"/>
              </w:rPr>
              <w:t>Notes due 2020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215.0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3.40%</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3.15%</w:t>
            </w:r>
          </w:p>
        </w:tc>
        <w:tc>
          <w:tcPr>
            <w:tcW w:w="608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3.15%</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4.00%</w:t>
            </w:r>
          </w:p>
        </w:tc>
        <w:tc>
          <w:tcPr>
            <w:tcW w:w="608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4.00%</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3.75%</w:t>
            </w:r>
          </w:p>
        </w:tc>
        <w:tc>
          <w:tcPr>
            <w:tcW w:w="608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gridSpan w:val="3"/>
          </w:tcPr>
          <w:p>
            <w:pPr>
              <w:ind w:left="138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3,581.8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2,552.9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(499.0)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60" w:type="dxa"/>
            <w:vAlign w:val="bottom"/>
            <w:gridSpan w:val="2"/>
          </w:tcPr>
          <w:p>
            <w:pPr>
              <w:ind w:left="360"/>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3,082.8</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—On January 17, 2017, we acceded to a new $2.5 billion senior unsecured revolving credit facility agreement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FMC Technologies, Inc. and Technip Eurocash SNC (the “Borrowers”) with JPMorgan Chase Bank, National Association, as agent and an arranger, SG Americas Securities LLC as an arranger, and the lenders party thereto.</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31" w:lineRule="exact"/>
        <w:rPr>
          <w:sz w:val="20"/>
          <w:szCs w:val="20"/>
          <w:color w:val="auto"/>
        </w:rPr>
      </w:pPr>
    </w:p>
    <w:p>
      <w:pPr>
        <w:ind w:left="900" w:right="3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225"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Bilateral credit facilities</w:t>
      </w:r>
      <w:r>
        <w:rPr>
          <w:rFonts w:ascii="Arial" w:cs="Arial" w:eastAsia="Arial" w:hAnsi="Arial"/>
          <w:sz w:val="17"/>
          <w:szCs w:val="17"/>
          <w:color w:val="auto"/>
        </w:rPr>
        <w:t>—We have access to four bilateral credit facilities in the aggregate of €340.0 million. The bilateral credit facilities consist of:</w:t>
      </w:r>
    </w:p>
    <w:p>
      <w:pPr>
        <w:spacing w:after="0" w:line="14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credit facility of €80.0 million expiring in June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Each bilateral credit facility contains usual and customary covenants, representations and warranties and events of default for credit facilities of this type.</w:t>
      </w:r>
    </w:p>
    <w:p>
      <w:pPr>
        <w:spacing w:after="0" w:line="2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Commercial paper</w:t>
      </w:r>
      <w:r>
        <w:rPr>
          <w:rFonts w:ascii="Arial" w:cs="Arial" w:eastAsia="Arial" w:hAnsi="Arial"/>
          <w:sz w:val="16"/>
          <w:szCs w:val="16"/>
          <w:color w:val="auto"/>
        </w:rPr>
        <w:t>—Under our commercial paper program, we have the ability to access $1.0 billion and €1.0 billion of short-term financing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dealers, subject to the limit of unused capacity of our facility agreement. As we have both the ability and intent to refinance these obligations on a long-term basis, our commercial paper borrowings were classified as long-term in the condensed consolidated balance sheets as of March 31, 2017 and December 31, 2016. Commercial paper borrowings are issued at market interest rates. As of March 31, 2017, our commercial paper borrowings had a weighted average interest rate of 1.30% on the U.S. dollar denominated borrowings and (0.22)% on the euro denominated borrowings.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Synthetic bonds</w:t>
      </w:r>
      <w:r>
        <w:rPr>
          <w:rFonts w:ascii="Arial" w:cs="Arial" w:eastAsia="Arial" w:hAnsi="Arial"/>
          <w:sz w:val="16"/>
          <w:szCs w:val="16"/>
          <w:color w:val="auto"/>
        </w:rPr>
        <w:t>—On January 25, 2016, we issued €375.0 million principal amount of 0.875% convertible bonds with a maturity date of January 25, 2021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redemption at par of the bonds which have not been converted. On March 3, 2016, we issued additional convertible bonds for a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 million issued on the same terms, fully fungible with and assimilated to the bonds issued on January 25, 2016. The issuance of these non-dilutive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settled convertible bonds (“Synthetic Bonds”), which are linked to our ordinary shares were backed simultaneously by the purchase of cash-settled equity call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in order to hedge our economic exposure to the potential exercise of the conversion rights embedded in the Synthetic Bonds. As the Synthetic Bonds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only be cash settled, they will not result in the issuance of new ordinary shares or the delivery of existing ordinary shares upon conversion. Interest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Synthetic Bonds is payable semi-annually in arrears on January 25 and July 25 of each year, beginning July 26, 2016. Net proceeds from the Synthetic Bonds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used for general corporate purposes and to finance the purchase of the call options. The Synthetic Bonds are our unsecured obligations. The Synthetic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Bonds will rank equally in right of payment with all of our existing and future unsubordinated debt.</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Synthetic Bonds issued on January 25, 2016 were issued at par. The Synthetic Bonds issued on March 3, 2016 were issued at a premium of 112.43802% resulting from an adjustment over the 3-day trading period following the issuance resulting in a share reference price of €48.8355.</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 40.0% conversion premium was applied to the share reference price of €40.7940. The share reference price was computed using the average of the daily volume weighted average price of our ordinary shares on the Euronext Paris market over the 10 consecutive trading days from January 21 to February 3, 2016. The initial conversion price of the bonds was then fixed at €57.1116.</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Synthetic Bonds each have a nominal value of €100.0 thousand with a conversion ratio of 3,558.2757 and a conversion price of €28.1035. Any bondholder may, at its sole option, request the conversion in cash of all or part of the bonds it owns, beginning November 15, 2020 to the 38th business day before the maturity date.</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Convertible bonds</w:t>
      </w:r>
      <w:r>
        <w:rPr>
          <w:rFonts w:ascii="Arial" w:cs="Arial" w:eastAsia="Arial" w:hAnsi="Arial"/>
          <w:sz w:val="16"/>
          <w:szCs w:val="16"/>
          <w:color w:val="auto"/>
        </w:rPr>
        <w:t>—On December 15, 2011, we issued 5,178,455 bonds convertible (the “2011-2017 Convertible Bonds”) into and/or exchangeable for new</w:t>
      </w:r>
      <w:r>
        <w:rPr>
          <w:rFonts w:ascii="Arial" w:cs="Arial" w:eastAsia="Arial" w:hAnsi="Arial"/>
          <w:sz w:val="16"/>
          <w:szCs w:val="16"/>
          <w:i w:val="1"/>
          <w:iCs w:val="1"/>
          <w:color w:val="auto"/>
        </w:rPr>
        <w:t xml:space="preserve"> </w:t>
      </w:r>
      <w:r>
        <w:rPr>
          <w:rFonts w:ascii="Arial" w:cs="Arial" w:eastAsia="Arial" w:hAnsi="Arial"/>
          <w:sz w:val="16"/>
          <w:szCs w:val="16"/>
          <w:color w:val="auto"/>
        </w:rPr>
        <w:t>or existing shares (“OCEANE”) for approximately €497.6 million with a maturity date of January 1, 2017. Net proceeds from the issuance was used to partially restore our cash balance position following the acquisition of Global Industries, Ltd. in December 2011 for a cash consideration of $936.4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maturity, all outstanding amounts under the 2011-2017 Convertible Bonds were repaid.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18"/>
          <w:szCs w:val="18"/>
          <w:color w:val="auto"/>
        </w:rPr>
        <w:t>—On February 28, 2017, we commenced offers to exchange any and all outstanding notes issued by FMC Technologies for up to $800.0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new notes issued by TechnipFMC and cash. In conjunction with the offers to exchange, FMC Technologies solicited consents to adopt certain proposed amendments to each of the indentures governing the previously issued notes to eliminate certain covenants, restrictive provisions and events of defaults from such indentures.</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29, 2017, we settled the offers to exchange and consent solicitations (the “Exchange Offers”) for (i) any and all 2.00% senior notes due October 1, 2017 (the “2017 FMC Notes”) issued by FMC Technologies for up to an aggregate principal amount of $300.0 million of new 2.00% senior notes due October 1, 2017 (the “2017 Senior Notes’) issued by TechnipFMC and cash, and (ii) any and all 3.45% senior notes due October 1, 2022 (the “2022 FMC Notes”) issued by FMC Technologies for up to an aggregate principal amount of $500.0 million in new 3.45% senior notes due October 1, 2022 (the “2022 Senior Notes”) issued by TechnipFMC with registration rights and cash. Pursuant to the Exchange Offers, we issued approximately $215.4 million in aggregate principal amount of 2017 Senior Notes and $459.8 million in aggregate principal amount of 2022 Senior Notes (collectively the “Senior Notes”). Interest on the 2017 Senior Notes is payable on October 1, 2017. Interest on the 2022 Senior Notes is payable semi-annually in arrears on April 1 and October 1 of each year, beginning October 1, 2017.</w:t>
      </w:r>
    </w:p>
    <w:p>
      <w:pPr>
        <w:spacing w:after="0" w:line="19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terms of the Senior 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any time prior to their maturity in the case of the 2017 Notes, and 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Private Placement Notes</w:t>
      </w:r>
      <w:r>
        <w:rPr>
          <w:rFonts w:ascii="Arial" w:cs="Arial" w:eastAsia="Arial" w:hAnsi="Arial"/>
          <w:sz w:val="17"/>
          <w:szCs w:val="17"/>
          <w:color w:val="auto"/>
        </w:rPr>
        <w:t>—On July 27, 2010, we completed the private placement of €200.0 million aggregate principal amount of 5.0% notes due July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Notes”). Interest on the 2020 Notes is payable annually in arrears on July 27 of each year, beginning July 27, 2011. Net proceeds of the 2020 Notes were used to partially finance the 2004-2011 bond issue, which was repaid at its maturity date on May 26, 2011. The 2020 Notes contain contains usual and customary covenants and events of default for notes of this type. In the event of a change of control resulting in a downgrade in the rating of the notes below BBB-, the 2020 Notes may be redeemed early by any bondholder, at its sole discretion. The 2020 Notes are our unsecured obligations. The 2020 Notes will rank equally in right of payment with all of our existing and future unsubordinated debt.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 June 2012, we completed the private placement of €325.0 million aggregate principal amount of notes. The notes were issued in three tranches with</w:t>
      </w:r>
    </w:p>
    <w:p>
      <w:pPr>
        <w:spacing w:after="0" w:line="3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€150.0 million bearing interest at 3.40% and due June 2022 (the “Tranche A 2022 Notes”), €75.0 million bearing interest of 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 Net proceeds of the 2012 Private Placement Notes were used for general corporate purposes. The 2012 Private Placement Notes contain usual and customary covenants and events of default for notes of this type. In the event of a change of control resulting in a downgrade in the rating of the notes below BBB-, the 2012 Private Placement Notes may be redeemed early by any bondholder, at its sole discretion. The 2012 Private Placement Notes are our unsecured obligations. The 2012 Private Placement Notes will rank equally in right of payment with all of our existing and future unsubordinated debt.</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 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 Net proceeds of the 2013 Private Placement Notes were used for general corporate purposes. The 2013 Private Placement Notes contain contains usual and customary covenants and events of default for notes of this type. In the event of a change of control resulting in a downgrade in the rating of the notes below BBB-, the 2013 Private Placement Notes may be redeemed early by any bondholder, at its sole discretion. The 2013 Private Placement Notes are our unsecured obligations. The 2013 Private Placement Notes will rank equally in right of payment with all of our existing and future unsubordinated debt.</w:t>
      </w:r>
    </w:p>
    <w:p>
      <w:pPr>
        <w:spacing w:after="0" w:line="169"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18"/>
          <w:szCs w:val="18"/>
          <w:color w:val="auto"/>
        </w:rPr>
        <w:t>—In December 2016, we entered into a £160.0 million term loan agreement to finance the Deep Explorer, a diving support vessel (“DSV”),</w:t>
      </w:r>
      <w:r>
        <w:rPr>
          <w:rFonts w:ascii="Arial" w:cs="Arial" w:eastAsia="Arial" w:hAnsi="Arial"/>
          <w:sz w:val="18"/>
          <w:szCs w:val="18"/>
          <w:i w:val="1"/>
          <w:iCs w:val="1"/>
          <w:color w:val="auto"/>
        </w:rPr>
        <w:t xml:space="preserve"> </w:t>
      </w:r>
      <w:r>
        <w:rPr>
          <w:rFonts w:ascii="Arial" w:cs="Arial" w:eastAsia="Arial" w:hAnsi="Arial"/>
          <w:sz w:val="18"/>
          <w:szCs w:val="18"/>
          <w:color w:val="auto"/>
        </w:rPr>
        <w:t>maturing December 2028. Under the loan agreement, interest accrues at an annual rate of 2.813%. This loan agreement contains usual and customary covenants and events of default for loans of this type.</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Foreign committed credit</w:t>
      </w:r>
      <w:r>
        <w:rPr>
          <w:rFonts w:ascii="Arial" w:cs="Arial" w:eastAsia="Arial" w:hAnsi="Arial"/>
          <w:sz w:val="16"/>
          <w:szCs w:val="16"/>
          <w:color w:val="auto"/>
        </w:rPr>
        <w:t>—We have committed credit lines at many of our international subsidiaries for immaterial amounts. We utilize these facilities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asset financing and to provide a more efficient daily source of liquidity. The effective interest rates depend upon the local national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 LIABILITIES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three months ended December 31,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Since nearly all substantive processes to perform and execute the obligations of the underlying contract are conducted by TechnipFMC and the noncontrolling interest holders, we accounted for these entities as an asset acquisition upon our obtaining control. In the condensed consolidated financial statements included in the Original Filing we recognized a net gain of $72.6 million during 2016. However, in connection with the restatement, it was determined that because the fair value of the voting control interests was computed using incorrect foreign currency rates, it was overstated by $64.9 million. As a result, we now recognize a net gain of $7.7 million during 2016. As of December 31, 2016, total assets, liabilities and equity related to these entities were consolidated onto our balance sheet and our results of operations for the three months ended March 31, 2017 reflect the consolidated results of operations related to these entities.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to the recognition of an intangible asset related to the acquired asset in the underlying entities, a mandatorily redeemable financial liability of $174.8 million (as restated) was recognized as of December 31, 2016 to account for the fair value of the non-controlling interests, for which $33.7 million was recorded as other current liabilities. Refer to Note 10 for further information regarding our other current liabilities. Changes in the fair value of the financial liability are recorded as interest expense on the condensed consolidated statements of income. Refer to Note 19 for further information regarding the fair value measurement assumptions of the mandatorily redeemable financial liability and related changes in its fair value.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CONTINGENT LIABILITIES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Contingent liabilities associated with guarantees—</w:t>
      </w:r>
      <w:r>
        <w:rPr>
          <w:rFonts w:ascii="Arial" w:cs="Arial" w:eastAsia="Arial" w:hAnsi="Arial"/>
          <w:sz w:val="18"/>
          <w:szCs w:val="18"/>
          <w:color w:val="auto"/>
        </w:rPr>
        <w:t>In the ordinary course of business, we enter into standby letters of credit, performance bonds, surety bonds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guarantees with financial institutions for the benefit of our customers, vendors and other parties. The majority of these financial instruments expire within four years. Management does not expect any of these financial instruments to result in losses that, if incurred, would have a material adverse effect on our consolidated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20" w:type="dxa"/>
            <w:vAlign w:val="bottom"/>
            <w:gridSpan w:val="4"/>
          </w:tcPr>
          <w:p>
            <w:pPr>
              <w:ind w:left="180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Financial guarantees </w:t>
            </w:r>
            <w:r>
              <w:rPr>
                <w:rFonts w:ascii="Arial" w:cs="Arial" w:eastAsia="Arial" w:hAnsi="Arial"/>
                <w:sz w:val="15"/>
                <w:szCs w:val="15"/>
                <w:color w:val="auto"/>
              </w:rPr>
              <w:t>(1)</w:t>
            </w:r>
          </w:p>
        </w:tc>
        <w:tc>
          <w:tcPr>
            <w:tcW w:w="1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 xml:space="preserve">Performance guarantees </w:t>
            </w:r>
            <w:r>
              <w:rPr>
                <w:rFonts w:ascii="Arial" w:cs="Arial" w:eastAsia="Arial" w:hAnsi="Arial"/>
                <w:sz w:val="15"/>
                <w:szCs w:val="15"/>
                <w:color w:val="auto"/>
              </w:rPr>
              <w:t>(2)</w:t>
            </w:r>
          </w:p>
        </w:tc>
        <w:tc>
          <w:tcPr>
            <w:tcW w:w="1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Maximum potential undiscounted payments</w:t>
            </w:r>
          </w:p>
        </w:tc>
        <w:tc>
          <w:tcPr>
            <w:tcW w:w="20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540" w:hanging="452"/>
        <w:spacing w:after="0" w:line="256"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 Company fails to fulfill its financial obligations.</w:t>
      </w:r>
    </w:p>
    <w:p>
      <w:pPr>
        <w:ind w:left="460" w:right="160" w:hanging="452"/>
        <w:spacing w:after="0" w:line="255"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Performance guarantees represent contracts that contingently require a guarantor to make payments to a guaranteed party based on another entity’s failure to perform under a nonfinancial obligating agreement. Events that trigger payment are performance related, such as failure to ship a product or provide a service.</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Contingent liabilities associated with legal matters—</w:t>
      </w:r>
      <w:r>
        <w:rPr>
          <w:rFonts w:ascii="Arial" w:cs="Arial" w:eastAsia="Arial" w:hAnsi="Arial"/>
          <w:sz w:val="17"/>
          <w:szCs w:val="17"/>
          <w:color w:val="auto"/>
        </w:rPr>
        <w:t>On March 29, 2016, Dong Energy (“Dong”) terminated, on the grounds of an alleged material breach, a</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signed on February 27, 2012 with a consortium of Technip France and Daewoo Shipping &amp; Marine Engineering Co., Ltd. This contract covered engineering, procurement, fabrication, hook-up and commissioning assistance for a fixed wellhead and process platform and associated facilities for the Hejre field offshore Denmark. Dong announced that it will not complete and does not intend to take possession of the platform. The parties are currently in arbitration to resolve contract disputes related to the performance and cessation of work under the contract.</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are involved in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dividends declared during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three months ended March 31, 2017 and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Ordinary 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5"/>
            <w:vMerge w:val="restart"/>
          </w:tcPr>
          <w:p>
            <w:pPr>
              <w:jc w:val="center"/>
              <w:ind w:right="680"/>
              <w:spacing w:after="0"/>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Held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shares in millions)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Employee</w:t>
            </w:r>
          </w:p>
        </w:tc>
        <w:tc>
          <w:tcPr>
            <w:tcW w:w="260" w:type="dxa"/>
            <w:vAlign w:val="bottom"/>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8"/>
              </w:rPr>
              <w:t>Shares Issued</w:t>
            </w:r>
          </w:p>
        </w:tc>
        <w:tc>
          <w:tcPr>
            <w:tcW w:w="1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Benefit Trust</w:t>
            </w:r>
          </w:p>
        </w:tc>
        <w:tc>
          <w:tcPr>
            <w:tcW w:w="2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460"/>
              <w:spacing w:after="0"/>
              <w:rPr>
                <w:sz w:val="20"/>
                <w:szCs w:val="20"/>
                <w:color w:val="auto"/>
              </w:rPr>
            </w:pPr>
            <w:r>
              <w:rPr>
                <w:rFonts w:ascii="Arial" w:cs="Arial" w:eastAsia="Arial" w:hAnsi="Arial"/>
                <w:sz w:val="18"/>
                <w:szCs w:val="18"/>
                <w:color w:val="auto"/>
                <w:w w:val="79"/>
              </w:rPr>
              <w:t>119.0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ind w:left="340"/>
              <w:spacing w:after="0"/>
              <w:rPr>
                <w:sz w:val="20"/>
                <w:szCs w:val="20"/>
                <w:color w:val="auto"/>
              </w:rPr>
            </w:pPr>
            <w:r>
              <w:rPr>
                <w:rFonts w:ascii="Arial" w:cs="Arial" w:eastAsia="Arial" w:hAnsi="Arial"/>
                <w:sz w:val="18"/>
                <w:szCs w:val="18"/>
                <w:color w:val="auto"/>
              </w:rPr>
              <w:t>Net stock purchased for (sold from) pursuant to liquidity contract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119.0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Balance as of December 31, 2016</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ind w:left="460"/>
              <w:spacing w:after="0"/>
              <w:rPr>
                <w:sz w:val="20"/>
                <w:szCs w:val="20"/>
                <w:color w:val="auto"/>
              </w:rPr>
            </w:pPr>
            <w:r>
              <w:rPr>
                <w:rFonts w:ascii="Arial" w:cs="Arial" w:eastAsia="Arial" w:hAnsi="Arial"/>
                <w:sz w:val="18"/>
                <w:szCs w:val="18"/>
                <w:color w:val="auto"/>
                <w:w w:val="79"/>
              </w:rPr>
              <w:t>119.2</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4"/>
              </w:rPr>
              <w:t>Net capital increases due to the Merger of FMC Technologies and Technip</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347.4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6"/>
          </w:tcPr>
          <w:p>
            <w:pPr>
              <w:ind w:left="340"/>
              <w:spacing w:after="0"/>
              <w:rPr>
                <w:sz w:val="20"/>
                <w:szCs w:val="20"/>
                <w:color w:val="auto"/>
              </w:rPr>
            </w:pPr>
            <w:r>
              <w:rPr>
                <w:rFonts w:ascii="Arial" w:cs="Arial" w:eastAsia="Arial" w:hAnsi="Arial"/>
                <w:sz w:val="18"/>
                <w:szCs w:val="18"/>
                <w:color w:val="auto"/>
                <w:w w:val="95"/>
              </w:rPr>
              <w:t>Treasury stock cancellation due to the Merger of FMC Technologies and Technip</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Net stock purchased for (sold from) employee benefit trust</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as of March 31, 2017</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ind w:left="440"/>
              <w:spacing w:after="0"/>
              <w:rPr>
                <w:sz w:val="20"/>
                <w:szCs w:val="20"/>
                <w:color w:val="auto"/>
              </w:rPr>
            </w:pPr>
            <w:r>
              <w:rPr>
                <w:rFonts w:ascii="Arial" w:cs="Arial" w:eastAsia="Arial" w:hAnsi="Arial"/>
                <w:sz w:val="18"/>
                <w:szCs w:val="18"/>
                <w:color w:val="auto"/>
                <w:w w:val="84"/>
              </w:rPr>
              <w:t>466.6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5"/>
            <w:vMerge w:val="restart"/>
          </w:tcPr>
          <w:p>
            <w:pPr>
              <w:spacing w:after="0"/>
              <w:rPr>
                <w:sz w:val="20"/>
                <w:szCs w:val="20"/>
                <w:color w:val="auto"/>
              </w:rPr>
            </w:pPr>
            <w:r>
              <w:rPr>
                <w:rFonts w:ascii="Arial" w:cs="Arial" w:eastAsia="Arial" w:hAnsi="Arial"/>
                <w:sz w:val="18"/>
                <w:szCs w:val="18"/>
                <w:color w:val="auto"/>
              </w:rPr>
              <w:t>Accumulated other comprehensive loss consisted of the following:</w:t>
            </w: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Defined Pension</w:t>
            </w:r>
          </w:p>
        </w:tc>
        <w:tc>
          <w:tcPr>
            <w:tcW w:w="260" w:type="dxa"/>
            <w:vAlign w:val="bottom"/>
          </w:tcPr>
          <w:p>
            <w:pPr>
              <w:spacing w:after="0"/>
              <w:rPr>
                <w:sz w:val="24"/>
                <w:szCs w:val="2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2"/>
                <w:szCs w:val="12"/>
                <w:color w:val="auto"/>
              </w:rPr>
            </w:pPr>
          </w:p>
        </w:tc>
        <w:tc>
          <w:tcPr>
            <w:tcW w:w="9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2"/>
              </w:rPr>
              <w:t>Available-For-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Hedging</w:t>
            </w:r>
          </w:p>
        </w:tc>
        <w:tc>
          <w:tcPr>
            <w:tcW w:w="140" w:type="dxa"/>
            <w:vAlign w:val="bottom"/>
          </w:tcPr>
          <w:p>
            <w:pPr>
              <w:spacing w:after="0"/>
              <w:rPr>
                <w:sz w:val="12"/>
                <w:szCs w:val="12"/>
                <w:color w:val="auto"/>
              </w:rPr>
            </w:pPr>
          </w:p>
        </w:tc>
        <w:tc>
          <w:tcPr>
            <w:tcW w:w="13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26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Translation</w:t>
            </w:r>
          </w:p>
        </w:tc>
        <w:tc>
          <w:tcPr>
            <w:tcW w:w="11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Sale Securities</w:t>
            </w:r>
          </w:p>
        </w:tc>
        <w:tc>
          <w:tcPr>
            <w:tcW w:w="5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Benefits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3"/>
              </w:rPr>
              <w:t>As Restated</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As Restated</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(849.8)</w:t>
            </w:r>
          </w:p>
        </w:tc>
        <w:tc>
          <w:tcPr>
            <w:tcW w:w="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1"/>
              </w:rPr>
              <w:t>(126.9)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reclassifications, net of tax</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adjustment for net losses (gains)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included in net income, net of tax</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(843.2)</w:t>
            </w:r>
          </w:p>
        </w:tc>
        <w:tc>
          <w:tcPr>
            <w:tcW w:w="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Three Months Ended</w:t>
            </w: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0"/>
                <w:szCs w:val="10"/>
                <w:color w:val="auto"/>
              </w:rPr>
            </w:pPr>
          </w:p>
        </w:tc>
        <w:tc>
          <w:tcPr>
            <w:tcW w:w="9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March 31,</w:t>
            </w:r>
          </w:p>
        </w:tc>
        <w:tc>
          <w:tcPr>
            <w:tcW w:w="3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340" w:type="dxa"/>
            <w:vAlign w:val="bottom"/>
            <w:gridSpan w:val="7"/>
            <w:vMerge w:val="restart"/>
          </w:tcPr>
          <w:p>
            <w:pPr>
              <w:spacing w:after="0" w:line="149" w:lineRule="exact"/>
              <w:rPr>
                <w:sz w:val="20"/>
                <w:szCs w:val="20"/>
                <w:color w:val="auto"/>
              </w:rPr>
            </w:pPr>
            <w:r>
              <w:rPr>
                <w:rFonts w:ascii="Arial" w:cs="Arial" w:eastAsia="Arial" w:hAnsi="Arial"/>
                <w:sz w:val="14"/>
                <w:szCs w:val="14"/>
                <w:b w:val="1"/>
                <w:bCs w:val="1"/>
                <w:color w:val="auto"/>
              </w:rPr>
              <w:t>Details about Accumulated Other Comprehensive Loss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Affected Line Item in the Condensed Consolidated</w:t>
            </w:r>
          </w:p>
        </w:tc>
        <w:tc>
          <w:tcPr>
            <w:tcW w:w="0" w:type="dxa"/>
            <w:vAlign w:val="bottom"/>
          </w:tcPr>
          <w:p>
            <w:pPr>
              <w:spacing w:after="0"/>
              <w:rPr>
                <w:sz w:val="1"/>
                <w:szCs w:val="1"/>
                <w:color w:val="auto"/>
              </w:rPr>
            </w:pPr>
          </w:p>
        </w:tc>
      </w:tr>
      <w:tr>
        <w:trPr>
          <w:trHeight w:val="106"/>
        </w:trPr>
        <w:tc>
          <w:tcPr>
            <w:tcW w:w="43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340" w:type="dxa"/>
            <w:vAlign w:val="bottom"/>
            <w:gridSpan w:val="7"/>
          </w:tcPr>
          <w:p>
            <w:pPr>
              <w:spacing w:after="0"/>
              <w:rPr>
                <w:sz w:val="20"/>
                <w:szCs w:val="20"/>
                <w:color w:val="auto"/>
              </w:rPr>
            </w:pPr>
            <w:r>
              <w:rPr>
                <w:rFonts w:ascii="Arial" w:cs="Arial" w:eastAsia="Arial" w:hAnsi="Arial"/>
                <w:sz w:val="14"/>
                <w:szCs w:val="14"/>
                <w:b w:val="1"/>
                <w:bCs w:val="1"/>
                <w:color w:val="auto"/>
              </w:rPr>
              <w:t>Components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4"/>
                <w:szCs w:val="14"/>
                <w:b w:val="1"/>
                <w:bCs w:val="1"/>
                <w:color w:val="auto"/>
              </w:rPr>
              <w:t>Statements of Income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Borders>
              <w:top w:val="single" w:sz="8" w:color="auto"/>
              <w:bottom w:val="single" w:sz="8" w:color="auto"/>
            </w:tcBorders>
            <w:gridSpan w:val="4"/>
            <w:shd w:val="clear" w:color="auto" w:fill="CCEEFF"/>
          </w:tcPr>
          <w:p>
            <w:pPr>
              <w:spacing w:after="0" w:line="142" w:lineRule="exact"/>
              <w:rPr>
                <w:sz w:val="20"/>
                <w:szCs w:val="20"/>
                <w:color w:val="auto"/>
              </w:rPr>
            </w:pPr>
            <w:r>
              <w:rPr>
                <w:rFonts w:ascii="Arial" w:cs="Arial" w:eastAsia="Arial" w:hAnsi="Arial"/>
                <w:sz w:val="16"/>
                <w:szCs w:val="16"/>
                <w:color w:val="auto"/>
              </w:rPr>
              <w:t>Gains (losses) on available-for-sale securities</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3"/>
            <w:shd w:val="clear" w:color="auto" w:fill="CCEEFF"/>
          </w:tcPr>
          <w:p>
            <w:pPr>
              <w:jc w:val="right"/>
              <w:ind w:right="400"/>
              <w:spacing w:after="0" w:line="136"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gridSpan w:val="2"/>
            <w:shd w:val="clear" w:color="auto" w:fill="CCEEFF"/>
          </w:tcPr>
          <w:p>
            <w:pPr>
              <w:jc w:val="right"/>
              <w:ind w:right="320"/>
              <w:spacing w:after="0" w:line="136" w:lineRule="exact"/>
              <w:rPr>
                <w:sz w:val="20"/>
                <w:szCs w:val="20"/>
                <w:color w:val="auto"/>
              </w:rPr>
            </w:pPr>
            <w:r>
              <w:rPr>
                <w:rFonts w:ascii="Arial" w:cs="Arial" w:eastAsia="Arial" w:hAnsi="Arial"/>
                <w:sz w:val="15"/>
                <w:szCs w:val="15"/>
                <w:color w:val="auto"/>
              </w:rPr>
              <w:t>—</w:t>
            </w:r>
          </w:p>
        </w:tc>
        <w:tc>
          <w:tcPr>
            <w:tcW w:w="5180" w:type="dxa"/>
            <w:vAlign w:val="bottom"/>
            <w:tcBorders>
              <w:top w:val="single" w:sz="8" w:color="auto"/>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Other expense, net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6"/>
          </w:tcPr>
          <w:p>
            <w:pPr>
              <w:spacing w:after="0" w:line="176" w:lineRule="exact"/>
              <w:rPr>
                <w:sz w:val="20"/>
                <w:szCs w:val="20"/>
                <w:color w:val="auto"/>
              </w:rPr>
            </w:pPr>
            <w:r>
              <w:rPr>
                <w:rFonts w:ascii="Arial" w:cs="Arial" w:eastAsia="Arial" w:hAnsi="Arial"/>
                <w:sz w:val="18"/>
                <w:szCs w:val="18"/>
                <w:color w:val="auto"/>
              </w:rPr>
              <w:t>Gains (losses) on hedging instruments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(63.5)</w:t>
            </w:r>
          </w:p>
        </w:tc>
        <w:tc>
          <w:tcPr>
            <w:tcW w:w="5180" w:type="dxa"/>
            <w:vAlign w:val="bottom"/>
          </w:tcPr>
          <w:p>
            <w:pPr>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(63.5)</w:t>
            </w:r>
          </w:p>
        </w:tc>
        <w:tc>
          <w:tcPr>
            <w:tcW w:w="51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color w:val="auto"/>
              </w:rPr>
              <w:t>Defined pension and other post-retirement benefits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Amortization of actuarial gain (loss)</w:t>
            </w:r>
          </w:p>
        </w:tc>
        <w:tc>
          <w:tcPr>
            <w:tcW w:w="128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gridSpan w:val="3"/>
          </w:tcPr>
          <w:p>
            <w:pPr>
              <w:jc w:val="right"/>
              <w:ind w:right="240"/>
              <w:spacing w:after="0"/>
              <w:rPr>
                <w:sz w:val="20"/>
                <w:szCs w:val="20"/>
                <w:color w:val="auto"/>
              </w:rPr>
            </w:pPr>
            <w:r>
              <w:rPr>
                <w:rFonts w:ascii="Arial" w:cs="Arial" w:eastAsia="Arial" w:hAnsi="Arial"/>
                <w:sz w:val="18"/>
                <w:szCs w:val="18"/>
                <w:color w:val="auto"/>
              </w:rPr>
              <w:t>(0.5)</w:t>
            </w: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(0.1)</w:t>
            </w:r>
          </w:p>
        </w:tc>
        <w:tc>
          <w:tcPr>
            <w:tcW w:w="518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Amortization of prior service credit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16 for additional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Merger described in Note 3, TechnipFMC plc is a public limited company incorporated under the laws of England and Wales. Therefore, our earnings are subject to the United Kingdom statutory rate of 19.3% beginning on the effective date of the Merger. Previously these earnings were subject to the French statutory rate of 34.4%. Our consolidated effective income tax rate information has been presented accordingly. The Merger transaction was generally a non-taxable event for the significant jurisdictions in which we operate.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income tax provision (benefit) for the three months ended March 31, 2017 and 2016, reflected effective tax rates of 141.5% (as restated) and 27.6% (as restated), respectively. The year-over-year increase in the effective tax rate was primarily due to a change in the forecasted country mix of earnings and valuation allowances due to additional losses generated for which no tax benefit is expected to be realized. In addition, individual tax items, combined with lower profitability in the current period, had a greater impact on the effective rate in the three months ended March 31, 2017 as a result of lower earnings as compared to the same period in 2016.</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was different from the statutory income tax rate due to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76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millions)</w:t>
            </w:r>
          </w:p>
        </w:tc>
        <w:tc>
          <w:tcPr>
            <w:tcW w:w="284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76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4"/>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As Restated</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98"/>
              </w:rPr>
              <w:t>As Restated</w:t>
            </w:r>
          </w:p>
        </w:tc>
        <w:tc>
          <w:tcPr>
            <w:tcW w:w="200" w:type="dxa"/>
            <w:vAlign w:val="bottom"/>
            <w:tcBorders>
              <w:bottom w:val="single" w:sz="8" w:color="CCEEFF"/>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34.4%</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difference resulting from:</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subject to different tax rates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Branch profits tax</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State, local and provincial taxes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(4.9)%</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Valuation allowance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51.4%</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12.0%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(4.8)%</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6760" w:type="dxa"/>
            <w:vAlign w:val="bottom"/>
            <w:gridSpan w:val="2"/>
            <w:vMerge w:val="restart"/>
          </w:tcPr>
          <w:p>
            <w:pPr>
              <w:ind w:left="920"/>
              <w:spacing w:after="0"/>
              <w:rPr>
                <w:sz w:val="20"/>
                <w:szCs w:val="20"/>
                <w:color w:val="auto"/>
              </w:rPr>
            </w:pPr>
            <w:r>
              <w:rPr>
                <w:rFonts w:ascii="Arial" w:cs="Arial" w:eastAsia="Arial" w:hAnsi="Arial"/>
                <w:sz w:val="18"/>
                <w:szCs w:val="18"/>
                <w:color w:val="auto"/>
              </w:rPr>
              <w:t>Effective tax rate</w:t>
            </w: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6760" w:type="dxa"/>
            <w:vAlign w:val="bottom"/>
            <w:gridSpan w:val="2"/>
            <w:vMerge w:val="continue"/>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141.5%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27.6%</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16. PENSION AND OTHER POST-RETIREMENT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2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20" w:type="dxa"/>
            <w:vAlign w:val="bottom"/>
            <w:gridSpan w:val="3"/>
          </w:tcPr>
          <w:p>
            <w:pPr>
              <w:spacing w:after="0"/>
              <w:rPr>
                <w:sz w:val="20"/>
                <w:szCs w:val="20"/>
                <w:color w:val="auto"/>
              </w:rPr>
            </w:pPr>
            <w:r>
              <w:rPr>
                <w:rFonts w:ascii="Arial" w:cs="Arial" w:eastAsia="Arial" w:hAnsi="Arial"/>
                <w:sz w:val="18"/>
                <w:szCs w:val="18"/>
                <w:color w:val="auto"/>
              </w:rPr>
              <w:t>The components of net periodic benefit cost were as follows: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89"/>
              </w:rPr>
              <w:t>Pension Benefits</w:t>
            </w: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10"/>
          </w:tcPr>
          <w:p>
            <w:pPr>
              <w:jc w:val="right"/>
              <w:ind w:right="316"/>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1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2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5"/>
              </w:rPr>
              <w:t>U.S.</w:t>
            </w:r>
          </w:p>
        </w:tc>
        <w:tc>
          <w:tcPr>
            <w:tcW w:w="40" w:type="dxa"/>
            <w:vAlign w:val="bottom"/>
          </w:tcPr>
          <w:p>
            <w:pPr>
              <w:spacing w:after="0"/>
              <w:rPr>
                <w:sz w:val="12"/>
                <w:szCs w:val="12"/>
                <w:color w:val="auto"/>
              </w:rPr>
            </w:pPr>
          </w:p>
        </w:tc>
        <w:tc>
          <w:tcPr>
            <w:tcW w:w="4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(10.5)</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Amortization of prior service cost (credit)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 (gain), net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Settlement cost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w:t>
            </w:r>
            <w:r>
              <w:rPr>
                <w:rFonts w:ascii="Arial" w:cs="Arial" w:eastAsia="Arial" w:hAnsi="Arial"/>
                <w:sz w:val="18"/>
                <w:szCs w:val="18"/>
                <w:u w:val="single" w:color="auto"/>
                <w:color w:val="auto"/>
              </w:rPr>
              <w:t>1</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2017, we contributed $0.6 million to our U.S. pension benefit plans and $12.6 million to our international pension benefit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STOCK-BASED COMPENSATION</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January 11, 2017, we adopted the TechnipFMC plc Incentive Award Plan (the “Plan”). The Plan provides 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stock options, stock appreciation rights, performance units, restricted stock units, restricted stock or other awards authorized under the Plan. All awards are subject to the Plan’s provisions, including all stock-based grants previously issued by FMC Technologies and Technip prior to consummation of the Merger. Under the Plan, 24.1 million ordinary shares were authorized for awards.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recognize compensation expense and the corresponding tax benefits for awards under the Plan. Stock-based compensation expense for nonvested stock units was $11.4 million and $6.0 million for the three months ended March 31, 2017 and 2016, respectively.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DERIVATIVE FINANCIAL INSTRUMENTS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Foreign exchange rate forward contracts</w:t>
      </w:r>
      <w:r>
        <w:rPr>
          <w:rFonts w:ascii="Arial" w:cs="Arial" w:eastAsia="Arial" w:hAnsi="Arial"/>
          <w:sz w:val="18"/>
          <w:szCs w:val="18"/>
          <w:color w:val="auto"/>
        </w:rPr>
        <w:t>—The purpose of these instruments is to hedge the risk of changes in future cash flows of anticipated purchase or sale commitments denominated in foreign currencies and recorded assets and liabilities in our consolidated balance sheets. At March 31, 2017, we held the following material net positions:</w:t>
      </w:r>
    </w:p>
    <w:p>
      <w:pPr>
        <w:spacing w:after="0" w:line="3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3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Net Notional Amount</w:t>
            </w: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Bought (Sold)</w:t>
            </w:r>
          </w:p>
        </w:tc>
        <w:tc>
          <w:tcPr>
            <w:tcW w:w="0" w:type="dxa"/>
            <w:vAlign w:val="bottom"/>
          </w:tcPr>
          <w:p>
            <w:pPr>
              <w:spacing w:after="0"/>
              <w:rPr>
                <w:sz w:val="1"/>
                <w:szCs w:val="1"/>
                <w:color w:val="auto"/>
              </w:rPr>
            </w:pPr>
          </w:p>
        </w:tc>
      </w:tr>
      <w:tr>
        <w:trPr>
          <w:trHeight w:val="142"/>
        </w:trPr>
        <w:tc>
          <w:tcPr>
            <w:tcW w:w="6380" w:type="dxa"/>
            <w:vAlign w:val="bottom"/>
            <w:vMerge w:val="continue"/>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USD Equivalent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940" w:type="dxa"/>
            <w:vAlign w:val="bottom"/>
            <w:tcBorders>
              <w:top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236.6</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Brazilian real</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571.9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219.4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Canadian dollar</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(172.7)</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895.0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Malaysian ringgit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233.2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Nigerian naira</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(5,341.3)</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Norwegian krone</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rPr>
              <w:t>919.9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Singapore dollar</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U.S. dollar</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w w:val="97"/>
              </w:rPr>
              <w:t>(1,741.0)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(1,741.0)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Foreign exchange rate instruments embedded in purchase and sale contracts</w:t>
      </w:r>
      <w:r>
        <w:rPr>
          <w:rFonts w:ascii="Arial" w:cs="Arial" w:eastAsia="Arial" w:hAnsi="Arial"/>
          <w:sz w:val="18"/>
          <w:szCs w:val="18"/>
          <w:color w:val="auto"/>
        </w:rPr>
        <w:t>—The purpose of these instruments is to match offsetting currency payments and receipts for particular projects, or comply with government restrictions on the currency used to purchase goods in certain countries. At March 31, 2017, our portfolio of these instruments included the following material net positions: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Net Notional Amount</w:t>
            </w:r>
          </w:p>
        </w:tc>
        <w:tc>
          <w:tcPr>
            <w:tcW w:w="0" w:type="dxa"/>
            <w:vAlign w:val="bottom"/>
          </w:tcPr>
          <w:p>
            <w:pPr>
              <w:spacing w:after="0"/>
              <w:rPr>
                <w:sz w:val="1"/>
                <w:szCs w:val="1"/>
                <w:color w:val="auto"/>
              </w:rPr>
            </w:pPr>
          </w:p>
        </w:tc>
      </w:t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4"/>
                <w:szCs w:val="14"/>
                <w:color w:val="auto"/>
              </w:rPr>
            </w:pPr>
          </w:p>
        </w:tc>
        <w:tc>
          <w:tcPr>
            <w:tcW w:w="16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2"/>
              </w:rPr>
              <w:t>Bought (Sold)</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vMerge w:val="continue"/>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USD Equivalent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Brazilian real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Euro</w:t>
            </w: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Norwegian krone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(240.2)</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U.S. dollar</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68.7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19 to these consolidated financial statements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ind w:left="2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4"/>
                <w:szCs w:val="14"/>
                <w:color w:val="auto"/>
              </w:rPr>
            </w:pPr>
          </w:p>
        </w:tc>
        <w:tc>
          <w:tcPr>
            <w:tcW w:w="15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1"/>
              </w:rPr>
              <w:t>Assets</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Liabilities</w:t>
            </w:r>
          </w:p>
        </w:tc>
        <w:tc>
          <w:tcPr>
            <w:tcW w:w="44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91"/>
              </w:rPr>
              <w:t>Assets</w:t>
            </w: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Liabilities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1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Foreign exchange contracts: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 Derivative financial instruments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Long-term – Derivative financial instruments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contracts: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Current – Derivative financial instruments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 Derivative financial instruments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Long-term – Derivative financial instruments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Synthetic Bonds – Call Option Premium</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108.4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180.1</w:t>
            </w: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ind w:left="700"/>
              <w:spacing w:after="0" w:line="201" w:lineRule="exact"/>
              <w:rPr>
                <w:sz w:val="20"/>
                <w:szCs w:val="20"/>
                <w:color w:val="auto"/>
              </w:rPr>
            </w:pPr>
            <w:r>
              <w:rPr>
                <w:rFonts w:ascii="Arial" w:cs="Arial" w:eastAsia="Arial" w:hAnsi="Arial"/>
                <w:sz w:val="18"/>
                <w:szCs w:val="18"/>
                <w:color w:val="auto"/>
              </w:rPr>
              <w:t>Long-term – Derivative financial instruments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 Synthetic Bonds – Embedded Derivatives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213.3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238.0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recognized a loss of $2.7 million and a gain of $10.6 million for the three months ended March 31, 2017 and 2016, respectively, due to hedge ineffectiveness as it was probable that the original forecasted transaction would not occur. Cash flow derivative hedges of forecasted transactions, net of tax, which qualify for hedge accounting, resulted in an accumulated other comprehensive loss of $67.8 million and $126.9 million at March 31, 2017, and December 31, 2016, respectively. We expect to transfer an approximate $65.4 million loss from accumulated OCI to earnings during the next 12 months when the anticipated transactions actually occur. All anticipated transactions currently being hedged are expected to occur by the first half of 2020.</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designated as fair value hedges.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Fair Value Hedge Gain (Loss) Recognized in Income</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Gain (Loss) Recognized in</w:t>
            </w:r>
          </w:p>
        </w:tc>
        <w:tc>
          <w:tcPr>
            <w:tcW w:w="0" w:type="dxa"/>
            <w:vAlign w:val="bottom"/>
          </w:tcPr>
          <w:p>
            <w:pPr>
              <w:spacing w:after="0"/>
              <w:rPr>
                <w:sz w:val="1"/>
                <w:szCs w:val="1"/>
                <w:color w:val="auto"/>
              </w:rPr>
            </w:pPr>
          </w:p>
        </w:tc>
      </w:tr>
      <w:tr>
        <w:trPr>
          <w:trHeight w:val="165"/>
        </w:trPr>
        <w:tc>
          <w:tcPr>
            <w:tcW w:w="492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gridSpan w:val="2"/>
          </w:tcPr>
          <w:p>
            <w:pPr>
              <w:jc w:val="center"/>
              <w:ind w:right="5"/>
              <w:spacing w:after="0" w:line="158" w:lineRule="exact"/>
              <w:rPr>
                <w:sz w:val="20"/>
                <w:szCs w:val="20"/>
                <w:color w:val="auto"/>
              </w:rPr>
            </w:pPr>
            <w:r>
              <w:rPr>
                <w:rFonts w:ascii="Arial" w:cs="Arial" w:eastAsia="Arial" w:hAnsi="Arial"/>
                <w:sz w:val="14"/>
                <w:szCs w:val="14"/>
                <w:b w:val="1"/>
                <w:bCs w:val="1"/>
                <w:color w:val="auto"/>
                <w:w w:val="93"/>
              </w:rPr>
              <w:t>Income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500" w:type="dxa"/>
            <w:vAlign w:val="bottom"/>
            <w:tcBorders>
              <w:top w:val="single" w:sz="8" w:color="auto"/>
              <w:bottom w:val="single" w:sz="8" w:color="auto"/>
            </w:tcBorders>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189"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Gain (Loss) Recognized in</w:t>
      </w:r>
    </w:p>
    <w:p>
      <w:pPr>
        <w:spacing w:after="0" w:line="4"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OCI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wp:posOffset>
            </wp:positionV>
            <wp:extent cx="22294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7200"/>
        <w:spacing w:after="0" w:line="233" w:lineRule="auto"/>
        <w:rPr>
          <w:sz w:val="20"/>
          <w:szCs w:val="20"/>
          <w:color w:val="auto"/>
        </w:rPr>
      </w:pPr>
      <w:r>
        <w:rPr>
          <w:rFonts w:ascii="Arial" w:cs="Arial" w:eastAsia="Arial" w:hAnsi="Arial"/>
          <w:sz w:val="14"/>
          <w:szCs w:val="14"/>
          <w:b w:val="1"/>
          <w:bCs w:val="1"/>
          <w:color w:val="auto"/>
        </w:rPr>
        <w:t>Three Months Ended March 31,</w:t>
      </w:r>
    </w:p>
    <w:tbl>
      <w:tblPr>
        <w:tblLayout w:type="fixed"/>
        <w:tblInd w:w="1380" w:type="dxa"/>
        <w:tblCellMar>
          <w:top w:w="0" w:type="dxa"/>
          <w:left w:w="0" w:type="dxa"/>
          <w:bottom w:w="0" w:type="dxa"/>
          <w:right w:w="0" w:type="dxa"/>
        </w:tblCellMar>
      </w:tblPr>
      <w:tr>
        <w:trPr>
          <w:trHeight w:val="142"/>
        </w:trPr>
        <w:tc>
          <w:tcPr>
            <w:tcW w:w="45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5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4"/>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351"/>
        </w:trPr>
        <w:tc>
          <w:tcPr>
            <w:tcW w:w="4500" w:type="dxa"/>
            <w:vAlign w:val="bottom"/>
            <w:gridSpan w:val="5"/>
          </w:tcPr>
          <w:p>
            <w:pPr>
              <w:spacing w:after="0"/>
              <w:rPr>
                <w:sz w:val="20"/>
                <w:szCs w:val="20"/>
                <w:color w:val="auto"/>
              </w:rPr>
            </w:pPr>
            <w:r>
              <w:rPr>
                <w:rFonts w:ascii="Arial" w:cs="Arial" w:eastAsia="Arial" w:hAnsi="Arial"/>
                <w:sz w:val="14"/>
                <w:szCs w:val="14"/>
                <w:b w:val="1"/>
                <w:bCs w:val="1"/>
                <w:color w:val="auto"/>
              </w:rPr>
              <w:t>Location of Cash Flow Hedge Gain (Loss) Reclassified from</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Gain (Loss) Reclassified from Accumulated</w:t>
            </w:r>
          </w:p>
        </w:tc>
        <w:tc>
          <w:tcPr>
            <w:tcW w:w="0" w:type="dxa"/>
            <w:vAlign w:val="bottom"/>
          </w:tcPr>
          <w:p>
            <w:pPr>
              <w:spacing w:after="0"/>
              <w:rPr>
                <w:sz w:val="1"/>
                <w:szCs w:val="1"/>
                <w:color w:val="auto"/>
              </w:rPr>
            </w:pPr>
          </w:p>
        </w:tc>
      </w:tr>
      <w:tr>
        <w:trPr>
          <w:trHeight w:val="129"/>
        </w:trPr>
        <w:tc>
          <w:tcPr>
            <w:tcW w:w="366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Accumulated OCI into Income</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gridSpan w:val="6"/>
          </w:tcPr>
          <w:p>
            <w:pPr>
              <w:jc w:val="center"/>
              <w:ind w:right="340"/>
              <w:spacing w:after="0" w:line="109" w:lineRule="exact"/>
              <w:rPr>
                <w:sz w:val="20"/>
                <w:szCs w:val="20"/>
                <w:color w:val="auto"/>
              </w:rPr>
            </w:pPr>
            <w:r>
              <w:rPr>
                <w:rFonts w:ascii="Arial" w:cs="Arial" w:eastAsia="Arial" w:hAnsi="Arial"/>
                <w:sz w:val="12"/>
                <w:szCs w:val="12"/>
                <w:b w:val="1"/>
                <w:bCs w:val="1"/>
                <w:color w:val="auto"/>
              </w:rPr>
              <w:t>OCI into Income (Effective Portion)</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4"/>
          </w:tcPr>
          <w:p>
            <w:pPr>
              <w:jc w:val="center"/>
              <w:ind w:left="439"/>
              <w:spacing w:after="0" w:line="129" w:lineRule="exact"/>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0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16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rPr>
              <w:t>Research and development expense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450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5"/>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1200" w:type="dxa"/>
            <w:vAlign w:val="bottom"/>
            <w:vMerge w:val="continue"/>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Gain (Loss) Recognized in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345"/>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Location of Cash Flow Hedge Gain (Loss) Recognized in Income</w:t>
            </w:r>
          </w:p>
        </w:tc>
        <w:tc>
          <w:tcPr>
            <w:tcW w:w="54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and Amount Excluded from Effectiveness</w:t>
            </w:r>
          </w:p>
        </w:tc>
        <w:tc>
          <w:tcPr>
            <w:tcW w:w="0" w:type="dxa"/>
            <w:vAlign w:val="bottom"/>
          </w:tcPr>
          <w:p>
            <w:pPr>
              <w:spacing w:after="0"/>
              <w:rPr>
                <w:sz w:val="1"/>
                <w:szCs w:val="1"/>
                <w:color w:val="auto"/>
              </w:rPr>
            </w:pPr>
          </w:p>
        </w:tc>
      </w:tr>
      <w:tr>
        <w:trPr>
          <w:trHeight w:val="165"/>
        </w:trPr>
        <w:tc>
          <w:tcPr>
            <w:tcW w:w="3960" w:type="dxa"/>
            <w:vAlign w:val="bottom"/>
            <w:tcBorders>
              <w:bottom w:val="single" w:sz="8" w:color="auto"/>
            </w:tcBorders>
            <w:gridSpan w:val="4"/>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25"/>
              <w:spacing w:after="0" w:line="158" w:lineRule="exact"/>
              <w:rPr>
                <w:sz w:val="20"/>
                <w:szCs w:val="20"/>
                <w:color w:val="auto"/>
              </w:rPr>
            </w:pPr>
            <w:r>
              <w:rPr>
                <w:rFonts w:ascii="Arial" w:cs="Arial" w:eastAsia="Arial" w:hAnsi="Arial"/>
                <w:sz w:val="14"/>
                <w:szCs w:val="14"/>
                <w:b w:val="1"/>
                <w:bCs w:val="1"/>
                <w:color w:val="auto"/>
                <w:w w:val="91"/>
              </w:rPr>
              <w:t>Testing)</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4"/>
          </w:tcPr>
          <w:p>
            <w:pPr>
              <w:jc w:val="center"/>
              <w:ind w:left="439"/>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6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Gain (Loss) Recognized in Income on Derivatives</w:t>
            </w: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Location of Gain (Loss) Recognized in Income</w:t>
            </w: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(Instruments Not Designated as Hedging</w:t>
            </w:r>
          </w:p>
        </w:tc>
        <w:tc>
          <w:tcPr>
            <w:tcW w:w="0" w:type="dxa"/>
            <w:vAlign w:val="bottom"/>
          </w:tcPr>
          <w:p>
            <w:pPr>
              <w:spacing w:after="0"/>
              <w:rPr>
                <w:sz w:val="1"/>
                <w:szCs w:val="1"/>
                <w:color w:val="auto"/>
              </w:rPr>
            </w:pPr>
          </w:p>
        </w:tc>
      </w:tr>
      <w:tr>
        <w:trPr>
          <w:trHeight w:val="171"/>
        </w:trPr>
        <w:tc>
          <w:tcPr>
            <w:tcW w:w="2840" w:type="dxa"/>
            <w:vAlign w:val="bottom"/>
            <w:gridSpan w:val="2"/>
            <w:vMerge w:val="continue"/>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Instruments)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0" w:type="dxa"/>
            <w:vAlign w:val="bottom"/>
            <w:gridSpan w:val="4"/>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center"/>
              <w:ind w:left="459"/>
              <w:spacing w:after="0" w:line="142" w:lineRule="exact"/>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Revenue</w:t>
            </w:r>
          </w:p>
        </w:tc>
        <w:tc>
          <w:tcPr>
            <w:tcW w:w="2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Other income, net</w:t>
            </w: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Balance Sheet Offsetting</w:t>
      </w:r>
      <w:r>
        <w:rPr>
          <w:rFonts w:ascii="Arial" w:cs="Arial" w:eastAsia="Arial" w:hAnsi="Arial"/>
          <w:sz w:val="18"/>
          <w:szCs w:val="18"/>
          <w:color w:val="auto"/>
        </w:rPr>
        <w:t>—We execute derivative contracts only with counterparties that consent to a master netting agreement, which permits net settlement of the gross derivative assets against gross derivative liabilities. Each instrument is accounted for individually and assets and liabilities are not offset. As of March 31, 2017 and December 31, 2016, we had no collateralized derivative contracts. The following tables present both gross information and net information of recognized derivative instruments: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9"/>
              </w:rPr>
              <w:t>December 31, 2016</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Not Offset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Not Offset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Permitted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Permitted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Gross Amount</w:t>
            </w:r>
          </w:p>
        </w:tc>
        <w:tc>
          <w:tcPr>
            <w:tcW w:w="220" w:type="dxa"/>
            <w:vAlign w:val="bottom"/>
          </w:tcPr>
          <w:p>
            <w:pPr>
              <w:spacing w:after="0"/>
              <w:rPr>
                <w:sz w:val="12"/>
                <w:szCs w:val="12"/>
                <w:color w:val="auto"/>
              </w:rPr>
            </w:pPr>
          </w:p>
        </w:tc>
        <w:tc>
          <w:tcPr>
            <w:tcW w:w="13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28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Netting</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Net Amount</w:t>
            </w:r>
          </w:p>
        </w:tc>
        <w:tc>
          <w:tcPr>
            <w:tcW w:w="380" w:type="dxa"/>
            <w:vAlign w:val="bottom"/>
            <w:vMerge w:val="restart"/>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Netting</w:t>
            </w:r>
          </w:p>
        </w:tc>
        <w:tc>
          <w:tcPr>
            <w:tcW w:w="1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
              <w:spacing w:after="0"/>
              <w:rPr>
                <w:sz w:val="20"/>
                <w:szCs w:val="20"/>
                <w:color w:val="auto"/>
              </w:rPr>
            </w:pPr>
            <w:r>
              <w:rPr>
                <w:rFonts w:ascii="Arial" w:cs="Arial" w:eastAsia="Arial" w:hAnsi="Arial"/>
                <w:sz w:val="14"/>
                <w:szCs w:val="14"/>
                <w:b w:val="1"/>
                <w:bCs w:val="1"/>
                <w:color w:val="auto"/>
                <w:w w:val="88"/>
              </w:rPr>
              <w:t>Agreements</w:t>
            </w:r>
          </w:p>
        </w:tc>
        <w:tc>
          <w:tcPr>
            <w:tcW w:w="4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w w:val="86"/>
              </w:rPr>
              <w:t>Recognized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5"/>
              <w:spacing w:after="0"/>
              <w:rPr>
                <w:sz w:val="20"/>
                <w:szCs w:val="20"/>
                <w:color w:val="auto"/>
              </w:rPr>
            </w:pPr>
            <w:r>
              <w:rPr>
                <w:rFonts w:ascii="Arial" w:cs="Arial" w:eastAsia="Arial" w:hAnsi="Arial"/>
                <w:sz w:val="14"/>
                <w:szCs w:val="14"/>
                <w:b w:val="1"/>
                <w:bCs w:val="1"/>
                <w:color w:val="auto"/>
                <w:w w:val="91"/>
              </w:rPr>
              <w:t>Agreements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365"/>
        </w:trPr>
        <w:tc>
          <w:tcPr>
            <w:tcW w:w="2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9"/>
              </w:rPr>
              <w:t>December 31, 2016</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Amounts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Amounts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Not Offset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Not Offset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Permitted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Permitted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28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Netting</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Net Amount</w:t>
            </w:r>
          </w:p>
        </w:tc>
        <w:tc>
          <w:tcPr>
            <w:tcW w:w="380" w:type="dxa"/>
            <w:vAlign w:val="bottom"/>
            <w:vMerge w:val="restart"/>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Netting</w:t>
            </w:r>
          </w:p>
        </w:tc>
        <w:tc>
          <w:tcPr>
            <w:tcW w:w="1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
              <w:spacing w:after="0"/>
              <w:rPr>
                <w:sz w:val="20"/>
                <w:szCs w:val="20"/>
                <w:color w:val="auto"/>
              </w:rPr>
            </w:pPr>
            <w:r>
              <w:rPr>
                <w:rFonts w:ascii="Arial" w:cs="Arial" w:eastAsia="Arial" w:hAnsi="Arial"/>
                <w:sz w:val="14"/>
                <w:szCs w:val="14"/>
                <w:b w:val="1"/>
                <w:bCs w:val="1"/>
                <w:color w:val="auto"/>
                <w:w w:val="88"/>
              </w:rPr>
              <w:t>Agreements</w:t>
            </w:r>
          </w:p>
        </w:tc>
        <w:tc>
          <w:tcPr>
            <w:tcW w:w="4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w w:val="86"/>
              </w:rPr>
              <w:t>Recognized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5"/>
              <w:spacing w:after="0"/>
              <w:rPr>
                <w:sz w:val="20"/>
                <w:szCs w:val="20"/>
                <w:color w:val="auto"/>
              </w:rPr>
            </w:pPr>
            <w:r>
              <w:rPr>
                <w:rFonts w:ascii="Arial" w:cs="Arial" w:eastAsia="Arial" w:hAnsi="Arial"/>
                <w:sz w:val="14"/>
                <w:szCs w:val="14"/>
                <w:b w:val="1"/>
                <w:bCs w:val="1"/>
                <w:color w:val="auto"/>
                <w:w w:val="91"/>
              </w:rPr>
              <w:t>Agreements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21" w:lineRule="exact"/>
        <w:rPr>
          <w:sz w:val="20"/>
          <w:szCs w:val="20"/>
          <w:color w:val="auto"/>
        </w:rPr>
      </w:pPr>
    </w:p>
    <w:p>
      <w:pPr>
        <w:jc w:val="right"/>
        <w:ind w:right="5600"/>
        <w:spacing w:after="0" w:line="449" w:lineRule="auto"/>
        <w:rPr>
          <w:sz w:val="20"/>
          <w:szCs w:val="20"/>
          <w:color w:val="auto"/>
        </w:rPr>
      </w:pPr>
      <w:r>
        <w:rPr>
          <w:rFonts w:ascii="Arial" w:cs="Arial" w:eastAsia="Arial" w:hAnsi="Arial"/>
          <w:sz w:val="18"/>
          <w:szCs w:val="18"/>
          <w:color w:val="auto"/>
        </w:rPr>
        <w:t>Assets and liabilities measured at fair value on a recurring basis were as follows: 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5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w:t>
            </w:r>
          </w:p>
        </w:tc>
        <w:tc>
          <w:tcPr>
            <w:tcW w:w="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6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Level 2</w:t>
            </w:r>
          </w:p>
        </w:tc>
        <w:tc>
          <w:tcPr>
            <w:tcW w:w="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As</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As</w:t>
            </w: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As</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Nonqualified Plan:</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 xml:space="preserve">Traded securities </w:t>
            </w:r>
            <w:r>
              <w:rPr>
                <w:rFonts w:ascii="Arial" w:cs="Arial" w:eastAsia="Arial" w:hAnsi="Arial"/>
                <w:sz w:val="15"/>
                <w:szCs w:val="15"/>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Money market fund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 xml:space="preserve">Stable value fund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Synthetic bonds - call option premium</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108.4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180.1</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180.1</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Foreign exchange contracts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215.0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265.9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238.0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Redeemable financial liability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242.9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Synthetic bonds - embedded derivatives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108.4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180.1</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180.1</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Foreign exchange contracts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230.6</w:t>
            </w:r>
          </w:p>
        </w:tc>
        <w:tc>
          <w:tcPr>
            <w:tcW w:w="12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585.5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410.7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174.8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equity securities, fixed income and other investments measured at fair value.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Certain investments that are measured at fair value using net asset value per share (or its equivalent) have not been classified in the fair value hierarchy.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Non-qualified plan—</w:t>
      </w:r>
      <w:r>
        <w:rPr>
          <w:rFonts w:ascii="Arial" w:cs="Arial" w:eastAsia="Arial" w:hAnsi="Arial"/>
          <w:sz w:val="18"/>
          <w:szCs w:val="18"/>
          <w:color w:val="auto"/>
        </w:rPr>
        <w:t>The fair value measurement of our traded securities is based on quoted prices that we have the ability to access in public markets. Our</w:t>
      </w:r>
      <w:r>
        <w:rPr>
          <w:rFonts w:ascii="Arial" w:cs="Arial" w:eastAsia="Arial" w:hAnsi="Arial"/>
          <w:sz w:val="18"/>
          <w:szCs w:val="18"/>
          <w:i w:val="1"/>
          <w:iCs w:val="1"/>
          <w:color w:val="auto"/>
        </w:rPr>
        <w:t xml:space="preserve"> </w:t>
      </w:r>
      <w:r>
        <w:rPr>
          <w:rFonts w:ascii="Arial" w:cs="Arial" w:eastAsia="Arial" w:hAnsi="Arial"/>
          <w:sz w:val="18"/>
          <w:szCs w:val="18"/>
          <w:color w:val="auto"/>
        </w:rPr>
        <w:t>stable value fund and money market fund are valued at the net asset value of the shares held at the end of the quarter, which is based on the fair value of the underlying investments using information reported by our investment advisor at quarter-end.</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Available-for-sale investments—</w:t>
      </w:r>
      <w:r>
        <w:rPr>
          <w:rFonts w:ascii="Arial" w:cs="Arial" w:eastAsia="Arial" w:hAnsi="Arial"/>
          <w:sz w:val="18"/>
          <w:szCs w:val="18"/>
          <w:color w:val="auto"/>
        </w:rPr>
        <w:t>The fair value measurement of our available-for-sale investments is based on quoted prices that we have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in public markets.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Mandatorily redeemable financial liability—</w:t>
      </w:r>
      <w:r>
        <w:rPr>
          <w:rFonts w:ascii="Arial" w:cs="Arial" w:eastAsia="Arial" w:hAnsi="Arial"/>
          <w:sz w:val="16"/>
          <w:szCs w:val="16"/>
          <w:color w:val="auto"/>
        </w:rPr>
        <w:t>We determined the fair value of the mandatorily redeemable financial liability using a discounted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model. Refer to Note 12 for further information related to this liability. The key assumption used in applying the income approach is the expected dividends to be distributed in the future to the noncontrolling interest holders. Expected dividends to be distributed is based on the noncontrolling interests’ share of the expected profitability of the underlying contract, the selected discount rate, and the overall timing of completion of the project. A decrease of one percentage point in the discount rate would have increased the liability by $4.0 million (as restated) as of March 31, 2017. The fair value measurement is based upon significant unobservable inputs not observable in the market and is consequently classified as a Level 3 fair value measurement.</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fair value of our Level 3 mandatorily redeemable financial liability is presented below. Since the liability was created during the three months ended December 31, 2016, no changes in fair value are presented for the prior period.</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20" w:type="dxa"/>
            <w:vAlign w:val="bottom"/>
            <w:gridSpan w:val="4"/>
          </w:tcPr>
          <w:p>
            <w:pPr>
              <w:ind w:left="14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494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As Restated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Remeasurement adjustment included in earnings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We use the income approach as the valuation technique to measure the fair value of foreign currency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for additional disclosure related to derivative financial instruments.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r>
        <w:rPr>
          <w:rFonts w:ascii="Arial" w:cs="Arial" w:eastAsia="Arial" w:hAnsi="Arial"/>
          <w:sz w:val="18"/>
          <w:szCs w:val="18"/>
          <w:color w:val="auto"/>
        </w:rPr>
        <w:t>—The fair value of our Synthetic Bonds, Senior Notes and private placement notes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March 31, 2017</w:t>
            </w:r>
          </w:p>
        </w:tc>
        <w:tc>
          <w:tcPr>
            <w:tcW w:w="1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44"/>
              <w:spacing w:after="0" w:line="119" w:lineRule="exact"/>
              <w:rPr>
                <w:sz w:val="20"/>
                <w:szCs w:val="20"/>
                <w:color w:val="auto"/>
              </w:rPr>
            </w:pPr>
            <w:r>
              <w:rPr>
                <w:rFonts w:ascii="Arial" w:cs="Arial" w:eastAsia="Arial" w:hAnsi="Arial"/>
                <w:sz w:val="13"/>
                <w:szCs w:val="13"/>
                <w:b w:val="1"/>
                <w:bCs w:val="1"/>
                <w:color w:val="auto"/>
              </w:rPr>
              <w:t>Fair</w:t>
            </w:r>
          </w:p>
        </w:tc>
        <w:tc>
          <w:tcPr>
            <w:tcW w:w="44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20" w:type="dxa"/>
            <w:vAlign w:val="bottom"/>
            <w:gridSpan w:val="2"/>
            <w:vMerge w:val="continue"/>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 xml:space="preserve">Amount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 xml:space="preserve">Value </w:t>
            </w:r>
            <w:r>
              <w:rPr>
                <w:rFonts w:ascii="Arial" w:cs="Arial" w:eastAsia="Arial" w:hAnsi="Arial"/>
                <w:sz w:val="12"/>
                <w:szCs w:val="12"/>
                <w:b w:val="1"/>
                <w:bCs w:val="1"/>
                <w:color w:val="auto"/>
                <w:w w:val="89"/>
              </w:rPr>
              <w:t>(2)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 xml:space="preserve">Amount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 xml:space="preserve">Value </w:t>
            </w:r>
            <w:r>
              <w:rPr>
                <w:rFonts w:ascii="Arial" w:cs="Arial" w:eastAsia="Arial" w:hAnsi="Arial"/>
                <w:sz w:val="12"/>
                <w:szCs w:val="12"/>
                <w:b w:val="1"/>
                <w:bCs w:val="1"/>
                <w:color w:val="auto"/>
                <w:w w:val="89"/>
              </w:rPr>
              <w:t>(2)</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Synthetic bonds due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441.5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$ 633.6</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428.0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$ 663.2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2.00%</w:t>
            </w:r>
          </w:p>
        </w:tc>
        <w:tc>
          <w:tcPr>
            <w:tcW w:w="622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300.6</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3.45%</w:t>
            </w: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506.8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5.00%</w:t>
            </w:r>
          </w:p>
        </w:tc>
        <w:tc>
          <w:tcPr>
            <w:tcW w:w="6220" w:type="dxa"/>
            <w:vAlign w:val="bottom"/>
          </w:tcPr>
          <w:p>
            <w:pPr>
              <w:ind w:left="20"/>
              <w:spacing w:after="0"/>
              <w:rPr>
                <w:sz w:val="20"/>
                <w:szCs w:val="20"/>
                <w:color w:val="auto"/>
              </w:rPr>
            </w:pPr>
            <w:r>
              <w:rPr>
                <w:rFonts w:ascii="Arial" w:cs="Arial" w:eastAsia="Arial" w:hAnsi="Arial"/>
                <w:sz w:val="18"/>
                <w:szCs w:val="18"/>
                <w:color w:val="auto"/>
              </w:rPr>
              <w:t>Notes due 2020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215.0</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240.8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3.40%</w:t>
            </w: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178.0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3.15%</w:t>
            </w:r>
          </w:p>
        </w:tc>
        <w:tc>
          <w:tcPr>
            <w:tcW w:w="6220" w:type="dxa"/>
            <w:vAlign w:val="bottom"/>
          </w:tcPr>
          <w:p>
            <w:pPr>
              <w:ind w:left="20"/>
              <w:spacing w:after="0"/>
              <w:rPr>
                <w:sz w:val="20"/>
                <w:szCs w:val="20"/>
                <w:color w:val="auto"/>
              </w:rPr>
            </w:pPr>
            <w:r>
              <w:rPr>
                <w:rFonts w:ascii="Arial" w:cs="Arial" w:eastAsia="Arial" w:hAnsi="Arial"/>
                <w:sz w:val="18"/>
                <w:szCs w:val="18"/>
                <w:color w:val="auto"/>
              </w:rPr>
              <w:t>Notes due 2023</w:t>
            </w:r>
            <w:r>
              <w:rPr>
                <w:rFonts w:ascii="Arial" w:cs="Arial" w:eastAsia="Arial" w:hAnsi="Arial"/>
                <w:sz w:val="15"/>
                <w:szCs w:val="15"/>
                <w:color w:val="auto"/>
              </w:rPr>
              <w:t>(a)</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139.5</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154.5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136.1</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3.15%</w:t>
            </w: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146.5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622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90.9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79.0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4.00%</w:t>
            </w: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123.3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3.75%</w:t>
            </w:r>
          </w:p>
        </w:tc>
        <w:tc>
          <w:tcPr>
            <w:tcW w:w="622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104.4</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108.2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Carrying amounts are shown net of unamortized debt discounts and premiums and unamortized debt issuance costs.</w:t>
      </w:r>
    </w:p>
    <w:p>
      <w:pPr>
        <w:spacing w:after="0" w:line="23" w:lineRule="exact"/>
        <w:rPr>
          <w:rFonts w:ascii="Arial" w:cs="Arial" w:eastAsia="Arial" w:hAnsi="Arial"/>
          <w:sz w:val="15"/>
          <w:szCs w:val="15"/>
          <w:color w:val="auto"/>
        </w:rPr>
      </w:pPr>
    </w:p>
    <w:p>
      <w:pPr>
        <w:ind w:left="460" w:right="100" w:hanging="452"/>
        <w:spacing w:after="0" w:line="261"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Fair values are based on Level 1 quoted market rates, except for the 4.00% Notes due 2027 and 3.15% Notes Due 2023</w:t>
      </w:r>
      <w:r>
        <w:rPr>
          <w:rFonts w:ascii="Arial" w:cs="Arial" w:eastAsia="Arial" w:hAnsi="Arial"/>
          <w:sz w:val="15"/>
          <w:szCs w:val="15"/>
          <w:color w:val="auto"/>
        </w:rPr>
        <w:t>(a)</w:t>
      </w:r>
      <w:r>
        <w:rPr>
          <w:rFonts w:ascii="Arial" w:cs="Arial" w:eastAsia="Arial" w:hAnsi="Arial"/>
          <w:sz w:val="18"/>
          <w:szCs w:val="18"/>
          <w:color w:val="auto"/>
        </w:rPr>
        <w:t>, which are based on Level 2, quoted market rates on similar liabilities with an appropriate credit spread applied.</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Other fair value disclosures—</w:t>
      </w:r>
      <w:r>
        <w:rPr>
          <w:rFonts w:ascii="Arial" w:cs="Arial" w:eastAsia="Arial" w:hAnsi="Arial"/>
          <w:sz w:val="18"/>
          <w:szCs w:val="18"/>
          <w:color w:val="auto"/>
        </w:rPr>
        <w:t>The carrying amounts of cash and cash equivalents, trade receivables, accounts payable, short-term debt,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debt associated with our bank borrowings, credit facilities, convertible bonds, as well as amounts included in other current assets and other current liabilities that meet the definition of financial instruments, approximate fair value.</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Credit risk—</w:t>
      </w:r>
      <w:r>
        <w:rPr>
          <w:rFonts w:ascii="Arial" w:cs="Arial" w:eastAsia="Arial" w:hAnsi="Arial"/>
          <w:sz w:val="18"/>
          <w:szCs w:val="18"/>
          <w:color w:val="auto"/>
        </w:rPr>
        <w:t>By their nature, financial instruments involve risk, including credit risk, for non-performance by counterparties. Financial instruments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BUSINESS SEGMENTS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operating decision maker reviews and evaluates operating performance to make decisions about resources to be allocated to the segment.</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Upon completion of the Merger of FMC Technologies and Technip,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131" w:lineRule="exact"/>
        <w:rPr>
          <w:sz w:val="20"/>
          <w:szCs w:val="20"/>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Subsea</w:t>
      </w:r>
      <w:r>
        <w:rPr>
          <w:rFonts w:ascii="Arial" w:cs="Arial" w:eastAsia="Arial" w:hAnsi="Arial"/>
          <w:sz w:val="18"/>
          <w:szCs w:val="18"/>
          <w:i w:val="1"/>
          <w:iCs w:val="1"/>
          <w:color w:val="auto"/>
        </w:rPr>
        <w:t>—</w:t>
      </w:r>
      <w:r>
        <w:rPr>
          <w:rFonts w:ascii="Arial" w:cs="Arial" w:eastAsia="Arial" w:hAnsi="Arial"/>
          <w:sz w:val="18"/>
          <w:szCs w:val="18"/>
          <w:color w:val="auto"/>
        </w:rPr>
        <w:t>manufactures and designs products and systems, performs engineering, procurement and project management and provides services used by oil and gas companies involved in deepwater exploration and production of crude oil and natural gas.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Onshore/Offshore</w:t>
      </w:r>
      <w:r>
        <w:rPr>
          <w:rFonts w:ascii="Arial" w:cs="Arial" w:eastAsia="Arial" w:hAnsi="Arial"/>
          <w:sz w:val="18"/>
          <w:szCs w:val="18"/>
          <w:i w:val="1"/>
          <w:iCs w:val="1"/>
          <w:color w:val="auto"/>
        </w:rPr>
        <w:t>—</w:t>
      </w:r>
      <w:r>
        <w:rPr>
          <w:rFonts w:ascii="Arial" w:cs="Arial" w:eastAsia="Arial" w:hAnsi="Arial"/>
          <w:sz w:val="18"/>
          <w:szCs w:val="18"/>
          <w:color w:val="auto"/>
        </w:rPr>
        <w:t>designs and builds onshore facilities related to the production, treatment and transportation of oil and gas; and designs, manufactures and installs fixed and floating platforms for the production and processing of oil and gas reserves for companies in the oil and gas industry.</w:t>
      </w:r>
    </w:p>
    <w:p>
      <w:pPr>
        <w:spacing w:after="0" w:line="86"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Surface Technologies</w:t>
      </w:r>
      <w:r>
        <w:rPr>
          <w:rFonts w:ascii="Arial" w:cs="Arial" w:eastAsia="Arial" w:hAnsi="Arial"/>
          <w:sz w:val="16"/>
          <w:szCs w:val="16"/>
          <w:i w:val="1"/>
          <w:iCs w:val="1"/>
          <w:color w:val="auto"/>
        </w:rPr>
        <w:t>—</w:t>
      </w:r>
      <w:r>
        <w:rPr>
          <w:rFonts w:ascii="Arial" w:cs="Arial" w:eastAsia="Arial" w:hAnsi="Arial"/>
          <w:sz w:val="16"/>
          <w:szCs w:val="16"/>
          <w:color w:val="auto"/>
        </w:rPr>
        <w:t>designs and manufactures systems and provides services used by oil and gas companies involved in land and offshore exploration and production of crude oil and natural gas; designs, manufactures and supplies technologically advanced high pressure valves and fittings for oilfield service companies; and also provides flowback and well testing services for exploration companies in the oil and gas industry.</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Total revenue by segment includes intersegment sales, which are made at prices approximating those that the selling entity is able to obtain on external sales. Segment operating profit is defined as total segment revenue less segment operating expenses. Income (loss) from equity method investments are included in computing segment operating profit. Refer to Note 9 for additional information. The following items have been excluded in computing segment operating profit: corporate staff expense, net interest income (expense) associated with corporate debt facilities, income taxes, and other revenue and other expense, net.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4760" w:type="dxa"/>
            <w:vAlign w:val="bottom"/>
            <w:gridSpan w:val="4"/>
            <w:vMerge w:val="continue"/>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As Restated</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As Restated</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revenue</w:t>
            </w: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Subsea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1,376.7</w:t>
            </w:r>
          </w:p>
        </w:tc>
        <w:tc>
          <w:tcPr>
            <w:tcW w:w="32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Onshore/Offshore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Surface Technologies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 and intercompany eliminations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gridSpan w:val="4"/>
          </w:tcPr>
          <w:p>
            <w:pPr>
              <w:spacing w:after="0"/>
              <w:rPr>
                <w:sz w:val="20"/>
                <w:szCs w:val="20"/>
                <w:color w:val="auto"/>
              </w:rPr>
            </w:pPr>
            <w:r>
              <w:rPr>
                <w:rFonts w:ascii="Arial" w:cs="Arial" w:eastAsia="Arial" w:hAnsi="Arial"/>
                <w:sz w:val="18"/>
                <w:szCs w:val="18"/>
                <w:color w:val="auto"/>
              </w:rPr>
              <w:t>Total revenue</w:t>
            </w:r>
          </w:p>
        </w:tc>
        <w:tc>
          <w:tcPr>
            <w:tcW w:w="1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gridSpan w:val="3"/>
          </w:tcPr>
          <w:p>
            <w:pPr>
              <w:spacing w:after="0" w:line="176" w:lineRule="exact"/>
              <w:rPr>
                <w:sz w:val="20"/>
                <w:szCs w:val="20"/>
                <w:color w:val="auto"/>
              </w:rPr>
            </w:pPr>
            <w:r>
              <w:rPr>
                <w:rFonts w:ascii="Arial" w:cs="Arial" w:eastAsia="Arial" w:hAnsi="Arial"/>
                <w:sz w:val="18"/>
                <w:szCs w:val="18"/>
                <w:color w:val="auto"/>
              </w:rPr>
              <w:t>Segment operating profit (loss):</w:t>
            </w: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Subsea</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Onshore/Offshore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gridSpan w:val="4"/>
          </w:tcPr>
          <w:p>
            <w:pPr>
              <w:spacing w:after="0"/>
              <w:rPr>
                <w:sz w:val="20"/>
                <w:szCs w:val="20"/>
                <w:color w:val="auto"/>
              </w:rPr>
            </w:pPr>
            <w:r>
              <w:rPr>
                <w:rFonts w:ascii="Arial" w:cs="Arial" w:eastAsia="Arial" w:hAnsi="Arial"/>
                <w:sz w:val="18"/>
                <w:szCs w:val="18"/>
                <w:color w:val="auto"/>
              </w:rPr>
              <w:t>Total segment operating profit</w:t>
            </w:r>
          </w:p>
        </w:tc>
        <w:tc>
          <w:tcPr>
            <w:tcW w:w="1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Corporate items:</w:t>
            </w:r>
          </w:p>
        </w:tc>
        <w:tc>
          <w:tcPr>
            <w:tcW w:w="1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 xml:space="preserve">Corporate income (expense) </w:t>
            </w:r>
            <w:r>
              <w:rPr>
                <w:rFonts w:ascii="Arial" w:cs="Arial" w:eastAsia="Arial" w:hAnsi="Arial"/>
                <w:sz w:val="15"/>
                <w:szCs w:val="15"/>
                <w:color w:val="auto"/>
              </w:rPr>
              <w:t>(1)</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4760" w:type="dxa"/>
            <w:vAlign w:val="bottom"/>
            <w:gridSpan w:val="4"/>
          </w:tcPr>
          <w:p>
            <w:pPr>
              <w:spacing w:after="0"/>
              <w:rPr>
                <w:sz w:val="20"/>
                <w:szCs w:val="20"/>
                <w:color w:val="auto"/>
              </w:rPr>
            </w:pPr>
            <w:r>
              <w:rPr>
                <w:rFonts w:ascii="Arial" w:cs="Arial" w:eastAsia="Arial" w:hAnsi="Arial"/>
                <w:sz w:val="18"/>
                <w:szCs w:val="18"/>
                <w:color w:val="auto"/>
              </w:rPr>
              <w:t>Total corporate items</w:t>
            </w:r>
          </w:p>
        </w:tc>
        <w:tc>
          <w:tcPr>
            <w:tcW w:w="1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Income before income taxes </w:t>
            </w:r>
            <w:r>
              <w:rPr>
                <w:rFonts w:ascii="Arial" w:cs="Arial" w:eastAsia="Arial" w:hAnsi="Arial"/>
                <w:sz w:val="15"/>
                <w:szCs w:val="15"/>
                <w:color w:val="auto"/>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258"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Corporate expense primarily includes corporate staff expenses, stock-based compensation expenses, other employee benefits, certain foreign exchange gains and losses, and merger-related transaction expenses.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amounts attributable to noncontrolling interests.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March 31, 2017</w:t>
            </w:r>
          </w:p>
        </w:tc>
        <w:tc>
          <w:tcPr>
            <w:tcW w:w="1580" w:type="dxa"/>
            <w:vAlign w:val="bottom"/>
            <w:gridSpan w:val="4"/>
          </w:tcPr>
          <w:p>
            <w:pPr>
              <w:ind w:left="360"/>
              <w:spacing w:after="0"/>
              <w:rPr>
                <w:sz w:val="20"/>
                <w:szCs w:val="20"/>
                <w:color w:val="auto"/>
              </w:rPr>
            </w:pPr>
            <w:r>
              <w:rPr>
                <w:rFonts w:ascii="Arial" w:cs="Arial" w:eastAsia="Arial" w:hAnsi="Arial"/>
                <w:sz w:val="14"/>
                <w:szCs w:val="14"/>
                <w:b w:val="1"/>
                <w:bCs w:val="1"/>
                <w:color w:val="auto"/>
                <w:w w:val="95"/>
              </w:rPr>
              <w:t>December 31, 2016</w:t>
            </w:r>
          </w:p>
        </w:tc>
      </w:tr>
      <w:tr>
        <w:trPr>
          <w:trHeight w:val="142"/>
        </w:trPr>
        <w:tc>
          <w:tcPr>
            <w:tcW w:w="5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8"/>
              </w:rPr>
              <w:t>As Restated</w:t>
            </w:r>
          </w:p>
        </w:tc>
        <w:tc>
          <w:tcPr>
            <w:tcW w:w="4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As Restated</w:t>
            </w:r>
          </w:p>
        </w:tc>
        <w:tc>
          <w:tcPr>
            <w:tcW w:w="60" w:type="dxa"/>
            <w:vAlign w:val="bottom"/>
            <w:tcBorders>
              <w:bottom w:val="single" w:sz="8" w:color="CCEEFF"/>
            </w:tcBorders>
          </w:tcPr>
          <w:p>
            <w:pPr>
              <w:spacing w:after="0"/>
              <w:rPr>
                <w:sz w:val="12"/>
                <w:szCs w:val="12"/>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Subsea</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13,946.1</w:t>
            </w:r>
          </w:p>
        </w:tc>
        <w:tc>
          <w:tcPr>
            <w:tcW w:w="420" w:type="dxa"/>
            <w:vAlign w:val="bottom"/>
          </w:tcPr>
          <w:p>
            <w:pPr>
              <w:spacing w:after="0"/>
              <w:rPr>
                <w:sz w:val="18"/>
                <w:szCs w:val="18"/>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7,823.1</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Onshore/Offshore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3,229.3</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Surface Technologies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1,871.5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Intercompany eliminations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Total segment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20,685.8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11,052.4</w:t>
            </w:r>
          </w:p>
        </w:tc>
        <w:tc>
          <w:tcPr>
            <w:tcW w:w="6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7,637.3</w:t>
            </w:r>
          </w:p>
        </w:tc>
        <w:tc>
          <w:tcPr>
            <w:tcW w:w="60" w:type="dxa"/>
            <w:vAlign w:val="bottom"/>
            <w:shd w:val="clear" w:color="auto" w:fill="CCEEFF"/>
          </w:tcPr>
          <w:p>
            <w:pPr>
              <w:spacing w:after="0"/>
              <w:rPr>
                <w:sz w:val="18"/>
                <w:szCs w:val="18"/>
                <w:color w:val="auto"/>
              </w:rPr>
            </w:pPr>
          </w:p>
        </w:tc>
      </w:tr>
      <w:tr>
        <w:trPr>
          <w:trHeight w:val="223"/>
        </w:trPr>
        <w:tc>
          <w:tcPr>
            <w:tcW w:w="57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29,615.9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18,689.7</w:t>
            </w:r>
          </w:p>
        </w:tc>
        <w:tc>
          <w:tcPr>
            <w:tcW w:w="6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500" w:hanging="452"/>
        <w:spacing w:after="0" w:line="27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Corporate includes cash, LIFO adjustments, deferred income tax balances, property, plant and equipment not associated with a specific segment, pension assets and the fair value of derivative financial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26, 2017, we announced that our Board of Directors approved a capital allocation plan that includes the authorization of a share repurchase program of up to $500.0 million of our ordinary shares to be completed by the end of 2018 and planning for a quarterly dividend following third quarter 2017 results. The implementation of this capital allocation program is subject to, among other things, completion of a U.K.-court approved reduction of capital and the availability of sufficient distributable reserves, which is expected to be completed in the third quarter of 2017.</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3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RESTATEMENT</w:t>
      </w:r>
    </w:p>
    <w:p>
      <w:pPr>
        <w:ind w:right="140"/>
        <w:spacing w:after="0" w:line="312" w:lineRule="auto"/>
        <w:rPr>
          <w:sz w:val="20"/>
          <w:szCs w:val="20"/>
          <w:color w:val="auto"/>
        </w:rPr>
      </w:pPr>
      <w:r>
        <w:rPr>
          <w:rFonts w:ascii="Arial" w:cs="Arial" w:eastAsia="Arial" w:hAnsi="Arial"/>
          <w:sz w:val="16"/>
          <w:szCs w:val="16"/>
          <w:color w:val="auto"/>
        </w:rPr>
        <w:t>As discussed in Note 2 to our condensed consolidated financial statements included in Part I, Item I of this Form 10-Q/A, we have restated our previously reported results filed in our Quarterly Report on Form 10-Q for the three months ended March 31, 2017 and 2016, respectively. Accordingly, Management’s Discussion and Analysis of Financial Condition and Results of Operations have been revised to reflect the effects of the restatement.</w:t>
      </w:r>
    </w:p>
    <w:p>
      <w:pPr>
        <w:spacing w:after="0" w:line="14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Original Filing, we recognized significant net foreign exchange gains. In July 2017, incremental reviews were performed on the gains and losses from foreign currency denominated transactions which operate as natural hedges on its projects. For each project, a currency rate is established at the time the project is awarded, and this “project rate” is used to measure foreign currency gains and losses throughout the life of the project for project performance purposes. Periodic remeasurement of foreign exchange gains and losses is required for financial statement reporting. During their review, management found that there were errors in the rates used for remeasurement and related foreign exchange adjustments. In late July 2017, management concluded that this deviation led to the misstatement of foreign exchange gains and losses in certain of our engineering and construction projects and the fair value measurement of certain related ownership interests for the periods presented in the Original Filing.</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July 24, 2017, the Audit Committee of the Board of Directors of the Company, after consideration of relevant facts and circumstances and after consultation with management and PricewaterhouseCoopers LLP, our independent registered public accounting firm, concluded that our unaudited interim condensed consolidated U.S. GAAP financial statements as of March 31, 2017 and for the three months ended March 31, 2017 and prior year periods included for comparison purposes in our Quarterly Report on Form 10-Q as previously filed with the SEC on May 4, 2017, should be restated, and that such financial statements previously filed with the SEC should no longer be relied upon because of errors in such financial statements.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errors resulted in the restatement of the Company’s financial statements for the periods presented in the Original Filing. Restatement adjustments were recorded for other income (expense), income from equity affiliates, net interest expense, provision for income taxes and billings in excess of costs as a result of the correction of foreign currency exchange rates used to initially measure these amounts. Restatement adjustments were also recorded for intangible assets, other assets and stockholders’ equity to reflect corrections of exchange rates used in the calculation of the fair value of certain acquired assets. Certain assets acquired were adjusted to reflect the impact of using the correct foreign exchange rates. Adjustments were recorded to cost and expenses to reflect decreased amortization of intangible assets for the period due to the revalued intangible assets. For further discussion of the remediation process, see “Part I— Item 4. Controls and Procedures As Restated”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Overall Outlook </w:t>
      </w:r>
      <w:r>
        <w:rPr>
          <w:rFonts w:ascii="Arial" w:cs="Arial" w:eastAsia="Arial" w:hAnsi="Arial"/>
          <w:sz w:val="18"/>
          <w:szCs w:val="18"/>
          <w:color w:val="auto"/>
        </w:rPr>
        <w:t>—Although the price of crude oil recovered in 2016 when compared to the prior year, the oil and gas industry continues to experience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impacts of the low crude oil price environment and some lingering uncertainties in the crude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oil price outlook. Despite OPEC’s implementation of a cap on OPEC crude oil production in 2017, uncertainty in the crude oil price outlook remains as to the effectiveness and duration of both concurrent OPEC and non-OPEC production cuts. After experiencing slight improvements in crude prices and inventory levels early in 2017, there continues to be some continued uncertainty in the crude oil price outlook which is expected to have an ongoing negative effect on our businesses in 2017. The timing of any sustainable recovery of crude oil prices and business activity is dependent on a number of variables, but many analysts continue to believe the market corrections necessary to address the oversupply of crude oil are in place and will ultimately result in sustainable industry improvement. As long-term demand rises and production naturally declines, we believe commodity prices should continue to recover, improving the cash flows and confidence of our customers to increase their investments in new sources of oil production.</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Subsea</w:t>
      </w:r>
      <w:r>
        <w:rPr>
          <w:rFonts w:ascii="Arial" w:cs="Arial" w:eastAsia="Arial" w:hAnsi="Arial"/>
          <w:sz w:val="17"/>
          <w:szCs w:val="17"/>
          <w:color w:val="auto"/>
        </w:rPr>
        <w:t>—The low crude oil price environment over the last two years led many of our customers to reduce their capital spending plans or defer new</w:t>
      </w:r>
      <w:r>
        <w:rPr>
          <w:rFonts w:ascii="Arial" w:cs="Arial" w:eastAsia="Arial" w:hAnsi="Arial"/>
          <w:sz w:val="17"/>
          <w:szCs w:val="17"/>
          <w:i w:val="1"/>
          <w:iCs w:val="1"/>
          <w:color w:val="auto"/>
        </w:rPr>
        <w:t xml:space="preserve"> </w:t>
      </w:r>
      <w:r>
        <w:rPr>
          <w:rFonts w:ascii="Arial" w:cs="Arial" w:eastAsia="Arial" w:hAnsi="Arial"/>
          <w:sz w:val="17"/>
          <w:szCs w:val="17"/>
          <w:color w:val="auto"/>
        </w:rPr>
        <w:t>deepwater projects. We began to reduce our workforce to align our operations with the anticipated decreases in activity in 2016 due to delayed Subsea project inbound and to maintain operating margins. We have benefitted from these restructuring actions by attaining more cost-effective manufacturing as we exited 2016 and during the first quarter of 2017. Looking ahead, we expect Subsea revenue to decrease a third consecutive year in 2017. However, even with lower Subsea revenue expectations, we believe the operational improvements and cost reductions made in the prior year will protect operating margins and provide us with the capability to respond to the eventual market recovery. We also recognize the need to invest in our people to ensure that we preserve the core competencies and capabilities that delivered the strong results in the first quarter of 2017 and will be needed to respond to the market recovery. We believe the operational improvements made will help mitigate the anticipated decline in operating margins. We remain confident that we can deliver double digit operating margins for the full-year 2017. Our customers are taking aggressive actions to improve their project economics. Accordingly, we remain focused on ways to reduce costs to our customers by offering cost-effective approaches to our customers’ project developments, including customer acceptance of integrated business models to help achieve the cost-reduction goals and accelerate achievement of first oil. In the long term, we continue to believe deepwater development will remain a significant part of our customers’ portfolio.</w:t>
      </w:r>
    </w:p>
    <w:p>
      <w:pPr>
        <w:spacing w:after="0" w:line="1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Onshore/Offshore</w:t>
      </w:r>
      <w:r>
        <w:rPr>
          <w:rFonts w:ascii="Arial" w:cs="Arial" w:eastAsia="Arial" w:hAnsi="Arial"/>
          <w:sz w:val="18"/>
          <w:szCs w:val="18"/>
          <w:color w:val="auto"/>
        </w:rPr>
        <w:t>—The Offshore market faces many of the same constraints as the Subsea business due to industry challenges to improve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economics. In response, we are continuing our cost reduction efforts in this business to align capacity and capabilities with market demands. Meanwhile, Onshore market activity continues to provide a tangible set of opportunities, including natural gas, refining and petrochemical projects. Activity in both LNG and petrochemicals is fueled by the potential for sustained modest natural gas prices, representing an important opportunity set for our business. As Onshore market activity levels remain stable, it provides our business the opportunity to remain actively engaged in and pursuing front-end engineering studies which provide the platform for early engagement with clients which can significantly de-risk project execution. Market opportunities for downstream front-end engineering studies and full engineering, procurement and construction projects are most prevalent in the Middle East, Africa and Asia markets in both LNG and refining.</w:t>
      </w:r>
    </w:p>
    <w:p>
      <w:pPr>
        <w:spacing w:after="0" w:line="19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Surface Technologies</w:t>
      </w:r>
      <w:r>
        <w:rPr>
          <w:rFonts w:ascii="Arial" w:cs="Arial" w:eastAsia="Arial" w:hAnsi="Arial"/>
          <w:sz w:val="16"/>
          <w:szCs w:val="16"/>
          <w:color w:val="auto"/>
        </w:rPr>
        <w:t>—Our Surface Technologies segment continues to operate in a challenging environment as a result of lower activity and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pricing, particularly in the North America land market. While rig count and operating activity have been improving in certain oil and gas producing basins, in basins where excess supply has limited the ability to earn an acceptable return, we have temporarily suspended certain operations in our surface Americas business until additional market activity supports our profit and cash flow objectives. The market recovery began in late 2016 in North America and has continued through the first quarter of 2017. Our restructuring actions taken in 2016 have reduced costs, and we expect our rationalized operating structure to provide us with flexibility to respond to the recovery. Our international surface business experienced competitive pricing pressure throughout 2016 in all of the markets we serve, and we expect this competitive pricing environment to continue and to negatively impact operating margins throughout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Unaudited supplemental pro forma results of operations for the three months ended March 31, 2016 present consolidated information as if (i) the merger of FMC Technologies and Technip (the “Merger”) and (ii) the consolidation of legal onshore/offshore contract entities which own and account for the design, engineering and construction of the Yamal LNG plant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(“Yamal”) had been completed as of January 1, 2016. The pro forma results do not include any potential synergies, cost savings or other expected benefits of these transactions. Accordingly, the pro forma results should not be considered indicative of the results that would have occurred if the transactions had been consummated as of January 1, 2016, nor are they indicative of future results. In order to provide comparability to the prior year pro forma results, the impact of purchase price accounting adjustments have been reflected on an equal basis.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3 for further information related to the Merger of FMC Technologies and Technip and refer to Note 12 for further information related to Yamal.</w:t>
      </w:r>
    </w:p>
    <w:p>
      <w:pPr>
        <w:spacing w:after="0" w:line="24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Due to the size of the aforementioned transactions relative to the size of historical results of operations and for purposes of comparability, management’s discussion of the consolidated and segment results of operations are provided on the basis of comparing actual results of operations for the three months ended March 31, 2017 to pro forma results of operations for the three months ended March 31, 2016.</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10"/>
            <w:vMerge w:val="restart"/>
          </w:tcPr>
          <w:p>
            <w:pPr>
              <w:jc w:val="center"/>
              <w:ind w:right="460"/>
              <w:spacing w:after="0"/>
              <w:rPr>
                <w:sz w:val="20"/>
                <w:szCs w:val="20"/>
                <w:color w:val="auto"/>
              </w:rPr>
            </w:pPr>
            <w:r>
              <w:rPr>
                <w:rFonts w:ascii="Arial" w:cs="Arial" w:eastAsia="Arial" w:hAnsi="Arial"/>
                <w:sz w:val="14"/>
                <w:szCs w:val="14"/>
                <w:b w:val="1"/>
                <w:bCs w:val="1"/>
                <w:color w:val="auto"/>
                <w:w w:val="94"/>
              </w:rPr>
              <w:t>Three Months Ended March 31,</w:t>
            </w:r>
          </w:p>
        </w:tc>
        <w:tc>
          <w:tcPr>
            <w:tcW w:w="19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10"/>
            <w:vMerge w:val="continue"/>
          </w:tcPr>
          <w:p>
            <w:pPr>
              <w:spacing w:after="0"/>
              <w:rPr>
                <w:sz w:val="14"/>
                <w:szCs w:val="14"/>
                <w:color w:val="auto"/>
              </w:rPr>
            </w:pPr>
          </w:p>
        </w:tc>
        <w:tc>
          <w:tcPr>
            <w:tcW w:w="1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(2017 vs. 2016 Pro Forma)</w:t>
            </w:r>
          </w:p>
        </w:tc>
        <w:tc>
          <w:tcPr>
            <w:tcW w:w="0" w:type="dxa"/>
            <w:vAlign w:val="bottom"/>
          </w:tcPr>
          <w:p>
            <w:pPr>
              <w:spacing w:after="0"/>
              <w:rPr>
                <w:sz w:val="1"/>
                <w:szCs w:val="1"/>
                <w:color w:val="auto"/>
              </w:rPr>
            </w:pPr>
          </w:p>
        </w:tc>
      </w:tr>
      <w:tr>
        <w:trPr>
          <w:trHeight w:val="11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91"/>
              <w:spacing w:after="0" w:line="119" w:lineRule="exact"/>
              <w:rPr>
                <w:sz w:val="20"/>
                <w:szCs w:val="20"/>
                <w:color w:val="auto"/>
              </w:rPr>
            </w:pPr>
            <w:r>
              <w:rPr>
                <w:rFonts w:ascii="Arial" w:cs="Arial" w:eastAsia="Arial" w:hAnsi="Arial"/>
                <w:sz w:val="13"/>
                <w:szCs w:val="13"/>
                <w:b w:val="1"/>
                <w:bCs w:val="1"/>
                <w:color w:val="auto"/>
                <w:w w:val="96"/>
              </w:rPr>
              <w:t>2016</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0"/>
                <w:szCs w:val="10"/>
                <w:color w:val="auto"/>
              </w:rPr>
            </w:pPr>
          </w:p>
        </w:tc>
        <w:tc>
          <w:tcPr>
            <w:tcW w:w="74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Pro Forma**</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As Restated</w:t>
            </w:r>
          </w:p>
        </w:tc>
        <w:tc>
          <w:tcPr>
            <w:tcW w:w="1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3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3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3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3,388.0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2,405.7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(1,303.6)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2,980.3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4,094.1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2,005.7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310.8</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147.6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Restructuring and impairment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Merger transaction and integration costs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gridSpan w:val="2"/>
          </w:tcPr>
          <w:p>
            <w:pPr>
              <w:ind w:left="72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3,342.2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2,209.3</w:t>
            </w: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(1,192.6)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Net 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(68.5)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equity affiliates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income (loss) attributable to TechnipFMC plc</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3" w:lineRule="exact"/>
        <w:rPr>
          <w:sz w:val="20"/>
          <w:szCs w:val="20"/>
          <w:color w:val="auto"/>
        </w:rPr>
      </w:pPr>
    </w:p>
    <w:p>
      <w:pPr>
        <w:ind w:left="460" w:right="20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 to “Pro Forma Results of Operations” above for further information related to the presentation of and transactions included in pro forma results for the three months ended March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Revenue decreased $1,303.6 million in the first quarter of 2017 compared to the prior-year quarter on a pro forma basis, primarily resulting from a sharp decline in Subsea activities in the Europe and Africa region due to lower order activity during 2015 and 2016, leading to a lower backlog of business coming into the current year. Partially offsetting were increased project execution activities in the Asia Pacific region, which continues to benefit from a larger portfolio of projects in backlog. Revenue also decreased across all Onshore/Offshore businesses year-over-year on a pro forma basis, primarily driven by lower levels of project backlog coming into the year impacting our Middle East, North America and South America businesses.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Gross profit (revenue less cost of sales) decreased as a percentage of sales to 12.0% in the first quarter of 2017, from 12.7% in the prior-year quarter on a pro forma basis. The decline in gross profit as a percentage of sales was primarily due to impact on the Subsea and Surface Technologies segments from the lower activity levels and project margin mix.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expense decreased $56.7 million year-over-year on a pro forma basis, resulting from lower headcount across all reporting segments and decreased sales commissions.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and impairment expense</w:t>
      </w:r>
    </w:p>
    <w:p>
      <w:pPr>
        <w:spacing w:after="0" w:line="11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Restructuring and impairment expense decreased by $66.3 million year-over-year on a pro forma basis. Additionally, we recorded restructuring and impairment expenses of $9.7 million during 2017 as a result of our company-wide reduction in workforce and facility consolidation efforts.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transaction and integration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Merger transaction and integration costs of $54.7 million were incurred in the first quarter of 2017 due to the completion of the Merger of FMC Technologies and Technip. A significant portion of the expenses recorded in the period are related to transaction fees, with a substantially lower portion related to integration activities pertaining to combining the two legacy companies. Refer to Note 3 to our condensed consolidated financial statements included in Part I, Item 1 of this Quarterly Report on Form 10-Q/A.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Other income (expense), net, primarily reflects foreign currency gains and losses, including gains and losses associated with the remeasurement of net cash positions. In the consolidated financial statements included in the Original Filing, in the first quarter of 2017 we recognized $306.9 million of net foreign exchange gains, largely due to the unhedged position of the Russian ruble versus the U.S. dollar, However, based on a review of calculations used to compute foreign currency gains and losses, it was concluded that the $306.9 million of net foreign exchange gains we recognized was overstated by $263.9 million because those calculations were done using the incorrect foreign currency rates.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income tax provision (benefit) for the three months ended March 31, 2017 and 2016, reflected effective tax rates of 141.5% and 27.6%, respectively. The year-over-year increase in the effective tax rate was primarily due to a change in the forecasted country mix of earnings and valuation allowances due to additional losses generated during the year for which no tax benefit is expected to be realized. In addition, individual tax items, combined with lower profitability in the current period, had a greater impact on the effective rate in the three months ended March 31, 2017 as compared to the same period in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THREE MONTHS ENDED MARCH 31, 2017 AND 2016</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20 to our condensed consolidated financial statements included in Part I, Item 1 of this Quarterly Report on Form 10-Q/A for further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19"/>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6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3"/>
                <w:szCs w:val="13"/>
                <w:b w:val="1"/>
                <w:bCs w:val="1"/>
                <w:color w:val="auto"/>
              </w:rPr>
              <w:t>2016</w:t>
            </w: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0"/>
                <w:szCs w:val="10"/>
                <w:color w:val="auto"/>
              </w:rPr>
            </w:pPr>
          </w:p>
        </w:tc>
        <w:tc>
          <w:tcPr>
            <w:tcW w:w="80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Pro Forma</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1,376.7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2,378.0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1,517.2</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(1,001.3)</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196.4</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(162.7)</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as a percentage of revenue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 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64"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Due to the Merger of FMC Technologies and Technip, there were 2.5 months included in the first quarter of 2017 for legacy FMC Technologies, compared with three months in the first quarter of 2016. Refer to Note 3 to our condensed consolidated financial statements included in Part I, Item 1 of this Quarterly Report on Form 10-Q/A.</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Subsea revenue decreased $1,001.3 million year-over-year on a pro forma basis, primarily due to lower project activity in the Europe and Africa region and lower activity in our Subsea services business, partially offset by increased project activity in the Asia Pacific region. The lower activity was substantially due to the reduced backlog levels at the beginning of the period as a result of slower project awards in 2015 and 2016. Additionally, the decrease in revenue was attributable to lower vessel utilization year-over-year on a pro forma basis, primarily due to high vessel campaigns in Africa and Asia in the prior year.</w:t>
      </w:r>
    </w:p>
    <w:p>
      <w:pPr>
        <w:spacing w:after="0" w:line="15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Subsea operating profit for the first quarter of 2017 included $6.7 million in restructuring and other severance charges compared to $3.9 million in the prior year on a pro forma basis. Operating profit for the first quarter of 2016 included $3.9 million in restructuring and other severance charges.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8"/>
          </w:tcPr>
          <w:p>
            <w:pPr>
              <w:jc w:val="center"/>
              <w:ind w:left="357"/>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19"/>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w w:val="96"/>
              </w:rPr>
              <w:t>2016</w:t>
            </w: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0"/>
                <w:szCs w:val="10"/>
                <w:color w:val="auto"/>
              </w:rPr>
            </w:pPr>
          </w:p>
        </w:tc>
        <w:tc>
          <w:tcPr>
            <w:tcW w:w="740" w:type="dxa"/>
            <w:vAlign w:val="bottom"/>
            <w:tcBorders>
              <w:top w:val="single" w:sz="8" w:color="auto"/>
            </w:tcBorders>
            <w:vMerge w:val="restart"/>
          </w:tcPr>
          <w:p>
            <w:pPr>
              <w:jc w:val="right"/>
              <w:ind w:right="261"/>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7"/>
              </w:rPr>
              <w:t>Pro Forma</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As Restated</w:t>
            </w:r>
          </w:p>
        </w:tc>
        <w:tc>
          <w:tcPr>
            <w:tcW w:w="5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As Restated</w:t>
            </w:r>
          </w:p>
        </w:tc>
        <w:tc>
          <w:tcPr>
            <w:tcW w:w="4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1,764.0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1,968.9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58.4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38.4</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84.4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as a percentage of revenue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5.1pts.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Onshore/Offshore revenue decreased $204.9 million year-over-year on a pro forma basis. In December 2016, we increased our stake in the Yamal joint venture and became the controlling shareholder, resulting in full consolidation of the joint venture into the consolidated financial statements. Absent the change due to consolidation, revenues were lower due to reduced project activity across all geographical regions. Additionally, the decrease in revenue was attributable to lower activity in the Middle East, North America and South America due to the delivery of several projects in 2016.</w:t>
      </w:r>
    </w:p>
    <w:p>
      <w:pPr>
        <w:spacing w:after="0" w:line="15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Onshore/Offshore operating profit as a percentage of revenue for the first quarter of 2017 increased to 8.1% due to a favorable mix of project margins. In addition, quarter-over-quarter profitability was also favorably impacted by the non-recurrence of a 2016 quarterly charge of $35.4 million related to impairment, restructuring and other severance charges.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7"/>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860" w:type="dxa"/>
            <w:vAlign w:val="bottom"/>
            <w:gridSpan w:val="4"/>
          </w:tcPr>
          <w:p>
            <w:pPr>
              <w:ind w:left="140"/>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19"/>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4"/>
                <w:szCs w:val="14"/>
                <w:b w:val="1"/>
                <w:bCs w:val="1"/>
                <w:color w:val="auto"/>
                <w:w w:val="92"/>
              </w:rPr>
              <w:t xml:space="preserve">2017 </w:t>
            </w:r>
            <w:r>
              <w:rPr>
                <w:rFonts w:ascii="Arial" w:cs="Arial" w:eastAsia="Arial" w:hAnsi="Arial"/>
                <w:sz w:val="12"/>
                <w:szCs w:val="12"/>
                <w:b w:val="1"/>
                <w:bCs w:val="1"/>
                <w:color w:val="auto"/>
                <w:w w:val="92"/>
              </w:rPr>
              <w:t>(1)</w:t>
            </w: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96"/>
              <w:spacing w:after="0" w:line="119" w:lineRule="exact"/>
              <w:rPr>
                <w:sz w:val="20"/>
                <w:szCs w:val="20"/>
                <w:color w:val="auto"/>
              </w:rPr>
            </w:pPr>
            <w:r>
              <w:rPr>
                <w:rFonts w:ascii="Arial" w:cs="Arial" w:eastAsia="Arial" w:hAnsi="Arial"/>
                <w:sz w:val="13"/>
                <w:szCs w:val="13"/>
                <w:b w:val="1"/>
                <w:bCs w:val="1"/>
                <w:color w:val="auto"/>
              </w:rPr>
              <w:t>2016</w:t>
            </w: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0"/>
                <w:szCs w:val="10"/>
                <w:color w:val="auto"/>
              </w:rPr>
            </w:pPr>
          </w:p>
        </w:tc>
        <w:tc>
          <w:tcPr>
            <w:tcW w:w="5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248.4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(101.2)</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(28.9)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Operating profit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(75.1)</w:t>
            </w:r>
          </w:p>
        </w:tc>
        <w:tc>
          <w:tcPr>
            <w:tcW w:w="5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56.5</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 as a percentage of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14.0 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Not meaningful</w:t>
      </w:r>
    </w:p>
    <w:p>
      <w:pPr>
        <w:spacing w:after="0" w:line="22" w:lineRule="exact"/>
        <w:rPr>
          <w:sz w:val="20"/>
          <w:szCs w:val="20"/>
          <w:color w:val="auto"/>
        </w:rPr>
      </w:pPr>
    </w:p>
    <w:p>
      <w:pPr>
        <w:ind w:left="460" w:right="20" w:hanging="452"/>
        <w:spacing w:after="0" w:line="256"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Due to the Merger of FMC Technologies and Technip, there were 2.5 months included in the first quarter of 2017 for legacy FMC Technologies, compared with three months in the first quarter of 2016. Refer to Note 3 to our condensed consolidated financial statements included in Part I, Item 1 of this Quarterly Report on Form 10-Q/A.</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Surface Technologies revenue decreased $101.2 million year-over-year on a pro forma basis. Revenue decreased in all of our Surface Technologies businesses year-over-year on a pro forma basis, driven primarily by the flow-through of more competitive pricing in international markets and lower activity in our loading systems businesses.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Surface Technologies operating loss as a percent of revenue decreased year-over-year on a pro forma basis and was driven primarily by a $38.6 million decrease in impairment, restructuring and other severance charges.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loss in the first quarter of 2017 included $1.4 million of impairment, restructuring and other severance charges compared to $40.0 million in 2016 on a pro forma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7"/>
          </w:tcPr>
          <w:p>
            <w:pPr>
              <w:jc w:val="center"/>
              <w:ind w:left="362"/>
              <w:spacing w:after="0"/>
              <w:rPr>
                <w:sz w:val="20"/>
                <w:szCs w:val="20"/>
                <w:color w:val="auto"/>
              </w:rPr>
            </w:pPr>
            <w:r>
              <w:rPr>
                <w:rFonts w:ascii="Arial" w:cs="Arial" w:eastAsia="Arial" w:hAnsi="Arial"/>
                <w:sz w:val="14"/>
                <w:szCs w:val="14"/>
                <w:b w:val="1"/>
                <w:bCs w:val="1"/>
                <w:color w:val="auto"/>
                <w:w w:val="95"/>
              </w:rPr>
              <w:t>Three Months Ended March 31,</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4"/>
          </w:tcPr>
          <w:p>
            <w:pPr>
              <w:ind w:left="220"/>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19"/>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w:t>
            </w:r>
          </w:p>
        </w:tc>
        <w:tc>
          <w:tcPr>
            <w:tcW w:w="2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4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82"/>
              <w:spacing w:after="0" w:line="119" w:lineRule="exact"/>
              <w:rPr>
                <w:sz w:val="20"/>
                <w:szCs w:val="20"/>
                <w:color w:val="auto"/>
              </w:rPr>
            </w:pPr>
            <w:r>
              <w:rPr>
                <w:rFonts w:ascii="Arial" w:cs="Arial" w:eastAsia="Arial" w:hAnsi="Arial"/>
                <w:sz w:val="13"/>
                <w:szCs w:val="13"/>
                <w:b w:val="1"/>
                <w:bCs w:val="1"/>
                <w:color w:val="auto"/>
              </w:rPr>
              <w:t>2016</w:t>
            </w: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0"/>
                <w:szCs w:val="10"/>
                <w:color w:val="auto"/>
              </w:rPr>
            </w:pPr>
          </w:p>
        </w:tc>
        <w:tc>
          <w:tcPr>
            <w:tcW w:w="74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Pro Forma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As Restated</w:t>
            </w:r>
          </w:p>
        </w:tc>
        <w:tc>
          <w:tcPr>
            <w:tcW w:w="5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As Restated</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As Restated</w:t>
            </w:r>
          </w:p>
        </w:tc>
        <w:tc>
          <w:tcPr>
            <w:tcW w:w="5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4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As Restated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Corporate items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favorable change year over year in Corporate items predominately reflects foreign currency gains and losses, including gains and losses associated with the remeasurement of net cash positions, partially offset by a $52.3 million charge related to business combination transaction and integration costs related to the Merger of FMC Technologies and Technip.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Inbound orders—</w:t>
      </w:r>
      <w:r>
        <w:rPr>
          <w:rFonts w:ascii="Arial" w:cs="Arial" w:eastAsia="Arial" w:hAnsi="Arial"/>
          <w:sz w:val="18"/>
          <w:szCs w:val="18"/>
          <w:color w:val="auto"/>
        </w:rPr>
        <w:t>Inbound orders represent the estimated sales value of confirmed customer orders received during the reporting period.</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4"/>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Three Months Ended March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Onshore/Offshore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inbound orders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1,589.5</w:t>
            </w:r>
          </w:p>
        </w:tc>
        <w:tc>
          <w:tcPr>
            <w:tcW w:w="4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1,021.</w:t>
            </w:r>
            <w:r>
              <w:rPr>
                <w:rFonts w:ascii="Arial" w:cs="Arial" w:eastAsia="Arial" w:hAnsi="Arial"/>
                <w:sz w:val="18"/>
                <w:szCs w:val="18"/>
                <w:u w:val="single" w:color="auto"/>
                <w:color w:val="auto"/>
                <w:w w:val="99"/>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 backlog—</w:t>
      </w:r>
      <w:r>
        <w:rPr>
          <w:rFonts w:ascii="Arial" w:cs="Arial" w:eastAsia="Arial" w:hAnsi="Arial"/>
          <w:sz w:val="18"/>
          <w:szCs w:val="18"/>
          <w:color w:val="auto"/>
        </w:rPr>
        <w:t>Order backlog is calculated as the estimated sales value of unfilled, confirmed customer orders at the reporting date.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w w:val="95"/>
              </w:rPr>
              <w:t>Order Backlog</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 2017</w:t>
            </w:r>
          </w:p>
        </w:tc>
        <w:tc>
          <w:tcPr>
            <w:tcW w:w="1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2016</w:t>
            </w: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March 31, 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Subsea</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6,558.2</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4,909.0</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Onshore/Offshore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9,066.0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11,834.9</w:t>
            </w: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9,401.7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Surface Technologies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order backlog</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16,056.2</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16,743.9</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Subsea. </w:t>
      </w:r>
      <w:r>
        <w:rPr>
          <w:rFonts w:ascii="Arial" w:cs="Arial" w:eastAsia="Arial" w:hAnsi="Arial"/>
          <w:sz w:val="17"/>
          <w:szCs w:val="17"/>
          <w:color w:val="auto"/>
        </w:rPr>
        <w:t>Order backlog for Subsea at March 31, 2017, increased by $1,649.2 million compared to December 31, 2016. Subsea backlog of $6.6 billion at</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2017, was composed of various subsea projects, including Total’s Kaombo; Petrobras’ pipelay support vessel and pre-salt tree awards; Mellitah’s Bahr Essalam; Shell’s Appomattox; PDVSA’s Mariscal Sucre Dragon; Woodside’s Greater Enfield; and BP’s Shah Deniz.</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Onshore/Offshore. </w:t>
      </w:r>
      <w:r>
        <w:rPr>
          <w:rFonts w:ascii="Arial" w:cs="Arial" w:eastAsia="Arial" w:hAnsi="Arial"/>
          <w:sz w:val="18"/>
          <w:szCs w:val="18"/>
          <w:color w:val="auto"/>
        </w:rPr>
        <w:t>Onshore/Offshore order backlog at March 31, 2017, decreased by $2.8 billion compared to December 31, 2016, primarily due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adjustments related to revenue generated on Yamal. Onshore/Offshore backlog of $9.1 billion was composed of various projects, including Yamal LNG; Enoc’s Jebel Ali refinery expansion; Sibur’s Zapsib-2; Total’s Martin Linge; Adma Opco’s Umm Lulu Phase 2; and Eni’s Ghana onshore receiving gas terminal.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Most of our cash is held in the treasury centralizing companies of TechnipFMC and in foreign jurisdictions to best meet the liquidity needs of our global operations. Cash held by subsidiaries of our U.S. domiciled companies could be repatriated to the United States, but under current law, any such repatriation would be subject to U.S. federal income tax, as adjusted for applicable foreign tax credits. We have provided for U.S. federal income taxes on earnings not distributed to the U.S. parent companies where we have determined that such earnings are not indefinitely reinvested.</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expect to meet the continuing funding requirements of our global operations with cash generated by such operations, cash from earnings of operations that are not indefinitely reinvested in the jurisdictions where generated and our existing revolving credit facility. We would make a provision for additional U.S. tax due to repatriated cash required to fund U.S. operations not previously provided, which may be material to our cash flows and results of operations.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Net (Debt) Cash</w:t>
      </w:r>
      <w:r>
        <w:rPr>
          <w:rFonts w:ascii="Arial" w:cs="Arial" w:eastAsia="Arial" w:hAnsi="Arial"/>
          <w:sz w:val="18"/>
          <w:szCs w:val="18"/>
          <w:color w:val="auto"/>
        </w:rPr>
        <w:t>—Net (debt) cash, is a non-GAAP financial measure reflecting cash and cash equivalents, net of debt. Management uses this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2017</w:t>
            </w:r>
          </w:p>
        </w:tc>
        <w:tc>
          <w:tcPr>
            <w:tcW w:w="2080" w:type="dxa"/>
            <w:vAlign w:val="bottom"/>
            <w:gridSpan w:val="4"/>
          </w:tcPr>
          <w:p>
            <w:pPr>
              <w:ind w:left="86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7,041.7</w:t>
            </w: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Less: Short-term debt and current portion of long-term debt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499.0</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683.6</w:t>
            </w:r>
          </w:p>
        </w:tc>
        <w:tc>
          <w:tcPr>
            <w:tcW w:w="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Long-term debt, less current portion</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3,082.8</w:t>
            </w:r>
          </w:p>
        </w:tc>
        <w:tc>
          <w:tcPr>
            <w:tcW w:w="8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Net (debt) cash</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3,459.9</w:t>
            </w:r>
          </w:p>
        </w:tc>
        <w:tc>
          <w:tcPr>
            <w:tcW w:w="86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3,716.4</w:t>
            </w:r>
          </w:p>
        </w:tc>
        <w:tc>
          <w:tcPr>
            <w:tcW w:w="6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gross change in the debt and cash components of our net (debt) cash position was primarily due to the Merger of FMC Technologies and Technip. Refer to Note 3 to our condensed consolidated financial statements included in Part I, Item 1 of this Quarterly Report on Form 10-Q/A.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generated $151.0 million and $160.4 million in cash from operating activities during the three months ended March 31, 2017 and 2016, respectively. The decrease in cash provided by operating activities was due to the payment of account payable and the decrease in advance payments and billing in excess of costs, leading to an improvement in our working capital position. Our working capital balances can vary significantly depending on the payment and delivery terms on key contracts in our portfolio of projects.</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Investing activities provided $1,442.9 million and used $25.0 million in cash during the three months ended March 31, 2017 and 2016, respectively. The increase in cash provided by investing activities was due to the Merger of FMC Technologies and Technip. Refer to Note 3 to our condensed consolidated financial statements included in Part I, Item 1 of this Quarterly Report on Form 10-Q/A.</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Financing activities used $865.5 million and $269.2 million in cash flows during the three months ended March 31, 2017 and 2016, respectively. The decrease in cash flows from financing activities was due to the repayment of long-term debt and a decrease in our commercial paper position during the three months ended March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to our condensed consolidated financial statements included in Part I, Item 1 of this Quarterly Report on Form 10-Q/A.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—The following is a summary of our revolving credit facility at March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Debt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Commercial</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Unused</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7"/>
              </w:rPr>
              <w:t>Paper</w:t>
            </w:r>
          </w:p>
        </w:tc>
        <w:tc>
          <w:tcPr>
            <w:tcW w:w="7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of</w:t>
            </w:r>
          </w:p>
        </w:tc>
        <w:tc>
          <w:tcPr>
            <w:tcW w:w="1080" w:type="dxa"/>
            <w:vAlign w:val="bottom"/>
            <w:gridSpan w:val="2"/>
            <w:vMerge w:val="continue"/>
          </w:tcPr>
          <w:p>
            <w:pPr>
              <w:spacing w:after="0"/>
              <w:rPr>
                <w:sz w:val="12"/>
                <w:szCs w:val="12"/>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4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2"/>
                <w:szCs w:val="12"/>
                <w:color w:val="auto"/>
              </w:rPr>
            </w:pPr>
          </w:p>
        </w:tc>
        <w:tc>
          <w:tcPr>
            <w:tcW w:w="120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 xml:space="preserve">Outstanding </w:t>
            </w:r>
            <w:r>
              <w:rPr>
                <w:rFonts w:ascii="Arial" w:cs="Arial" w:eastAsia="Arial" w:hAnsi="Arial"/>
                <w:sz w:val="12"/>
                <w:szCs w:val="12"/>
                <w:b w:val="1"/>
                <w:bCs w:val="1"/>
                <w:color w:val="auto"/>
                <w:w w:val="93"/>
              </w:rPr>
              <w:t>(a)</w:t>
            </w:r>
          </w:p>
        </w:tc>
        <w:tc>
          <w:tcPr>
            <w:tcW w:w="7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8"/>
              </w:rPr>
              <w:t>Credit</w:t>
            </w:r>
          </w:p>
        </w:tc>
        <w:tc>
          <w:tcPr>
            <w:tcW w:w="10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Capacity</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Five-year revolving credit facility</w:t>
            </w: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2,500.0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870.3</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  1,629.7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6"/>
              </w:rPr>
              <w:t>January 2020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80" w:hanging="452"/>
        <w:spacing w:after="0" w:line="308"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7"/>
          <w:szCs w:val="17"/>
          <w:color w:val="auto"/>
        </w:rPr>
        <w:t>Under our commercial paper program, we have the ability to access up to $1.0 billion and €1.0 billion of financing through our commercial paper dealers. Our available capacity under our revolving credit facility is reduced by any outstanding commercial paper.</w:t>
      </w:r>
    </w:p>
    <w:p>
      <w:pPr>
        <w:spacing w:after="0" w:line="14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$870.3 million of commercial paper issued under our facility at March 31, 2017. As we had both the ability and intent to refinance these obligations on a long-term basis, our commercial paper borrowings were classified as long-term debt in the accompanying condensed consolidated balance sheets at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were in compliance with all restrictive covenants under our revolving credit facility.</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Refer to Note 11 to our condensed consolidated financial statements included in Part I, Item 1 of this Quarterly Report on Form 10-Q/A for further information related to our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 information about credit risk is incorporated herein by reference to Note 19 to our condensed consolidated financial statements included in Part I, Item 1 of this Quarterly Report on Form 10-Q/A.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Historically, we have generated our liquidity and capital resources primarily through operations and, when needed, through our credit facility. We have</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$1,629.7 million of capacity available under our revolving credit facility that we expect to utilize if working capital needs temporarily increase. The volatility in credit, equity and commodity markets creates some uncertainty for our businesses. However, management believes, based on our current financial condition, existing backlog levels and current expectations for future market conditions, that we will continue to meet our short- and long-term liquidity needs with a combination of cash on hand, cash generated from operations and access to capital markets. While we will continue to reach payment milestones on our projects, we expect our consolidated operating cash flow in 2017 to slightly decrease as a result of the negative impact the decline in commodity prices and the corresponding impact the industry downturn is having on our overall business in terms of the number of new projects awarded and the payment terms and conditions of such project awards. Given the protracted downturn in the oilfield services industry, some key customers have requested the possibility of deferred payments. Additionally, our primary customer in Brazil has requested some re-scheduling of backlog deliveries in order to better match equipment deliveries with their operating schedule requirements and to better align cash flow capabilities. Consequently, any payment deferrals, discounts on pricing, or material product delivery delays that may ultimately be mutually agreed to with our key customers may adversely affect our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project spending approximately $300 million in 2017 for capital expenditures, largely towards maintenance expenditures in our subsea service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projected capital expenditures for 2017 do not include any contingent capital that may be needed to respond to a contract award.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authorized $500 million for repurchase of shares to be executed over the remainder of 2017 and 2018. Also, we intend to distribute quarterly dividends beginning after our third quarter at a rate to be determined. Both actions are subject to regulatory approval in the United Kingdom where we are domiciled.</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remainder of 2017, we expect to make contributions of approximately $10.4 million to our international pension plans. Actual contribution amounts are dependent upon plan investment returns, changes in pension obligations, regulatory environments and other economic factors. We update our pension estimates annually during the fourth quarter or more frequently upon the occurrence of significant events. Additionally, we expect to make payments of approximately $2.4 million to our U.S. Non-Qualified Defined Benefit Pension Plan during the remainder of 2017.</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consolidated financial statements included in Part I, Item I of this Quarterly Report on Form 10-Q/A for a description of our significant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Completion Method of Accounting</w:t>
      </w:r>
    </w:p>
    <w:p>
      <w:pPr>
        <w:spacing w:after="0" w:line="11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recognize revenue on construction-type manufacturing projects using the percentage of completion method of accounting whereby revenue is recognized as work progresses on each contract. There are several acceptable methods under GAAP of measuring progress toward completion. Most frequently, we use the ratio of costs incurred to date to total estimated contract costs at completion to measure progress toward completion.</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execute contracts with our customers that clearly describe the equipment, systems and/or services that we will provide and the amount of consideration we will receive.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17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 significant portion of our total revenue recognized under the percentage of completion method of accounting relates to our Subsea segment, primarily for subsea exploration and production equipment projects that involve the design, engineering, manufacturing and assembly of complex, customer-specific systems. The systems are not entirely built from standard bills of material and typically require extended periods of time to design and construct.</w:t>
      </w:r>
    </w:p>
    <w:p>
      <w:pPr>
        <w:spacing w:after="0" w:line="14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Total estimated contract cost affects both the revenue recognized in a period as well as the reported profit or loss on a project. The determination of profit or loss on a contract requires consideration of contract revenue, change orders and claims, less costs incurred to date and estimated costs to complete. Profits are recognized based on the estimated project profit multiplied by the percentage complete. 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contracts under the percentage of completion method of accounting is such that refinements of the estimating process for changing conditions and new developments are continuous and characteristic of the process. Consequently, the amount of revenue recognized using the percentage of completion method of accounting is sensitive to changes in our estimates of total contract costs.</w:t>
      </w:r>
    </w:p>
    <w:p>
      <w:pPr>
        <w:spacing w:after="0" w:line="16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total estimated contract cost in the percentage of completion method of accounting is a critical accounting estimate because it can materially affect revenue and profit and requires us to make judgments about matters that are uncertain. There are many factors, including, but not limited to, the ability to properly execute the engineering and design phases consistent with our customers’ expectations, the availability and costs of labor and material resources, productivity and weather, that can affect the accuracy of our cost estimates, and ultimately, our future profitability.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determining our current income tax provision, we assess temporary differences resulting from differing treatments of items for tax and accounting purposes. These differences result in deferred tax assets and liabilities, which are recorded in our consolidated balance sheets. When we maintain deferred tax assets, we must assess the likelihood that these assets will be recovered through adjustments to future taxable income. To the extent we believe recovery is not likely, we establish a valuation allowance. We record an allowance reducing the asset to a value we believe will be recoverable based on our 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the expected realizability of a deferred tax asset would require that we adjust the valuation allowance applied against the gross value of our total deferred tax assets, resulting in a change to net income.</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March 31, 2017, we believe that it is not more likely than not that we will generate future taxable income in certain jurisdictions in which we have cumulative net operating losses and, therefore, we have provided a valuation allowance against the related deferred tax assets. As of March 31, 2017, we believe that it is more likely than not that we will have future taxable income in the United States to utilize our deferred tax assets. Therefore, we have not provided a valuation allowance against the cumulative net operating loss.</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pension and other post-retirement (health care and life insurance) obligations are described in Note 16 to our consolidated financial statements included in Part I, Item I of this Quarterly Report on Form 10-Q/A.</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determination of the projected benefit obligations of our pension and other post-retirement benefit plans are important to the recorded amounts of such obligations on our consolidated balance sheet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17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 of our plan assets, respectively. These measures are critical accounting estimates because they are subject to management’s judgment and can materially affect net income.</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discount rate affects the interest cost component of net periodic pension cost and the calculation of the projected benefit obligation. The discount rate is based on rates at which the pension benefit obligation could be effectively settled on a present value basis. Discount rates are derived by identifying a theoretical settlement portfolio of long-term, high quality (“AA” rated) corporate bonds at our determination date that is sufficient to provide for the projected pension benefit payments. A single discount rate is determined that results in a discounted value of the pension benefit payments that equate to the market value of the selected bonds. The resulting discount rate is reflective of both the current interest rate environment and the pension’s distinct liability characteristics. Significant changes in the discount rate, such as those caused by changes in the yield curve, the mix of bonds available in the market, the duration of selected bonds and the timing of expected benefit payments, may result in volatility in our pension expense and pension liabilities.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expected long-term rate of return on plan assets is a component of net periodic pension cost. Our estimate of the expected long-term rate of return on plan assets is primarily based on the historical performance of plan assets, current market conditions, our asset allocation and long-term growth expectations. The difference between the expected return and the actual return on plan assets is amortized over the expected remaining service life of employees, resulting in a lag time between the market’s performance and its impact on plan results.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Holding other assumptions constant, the following table illustrates the sensitivity of changes in the discount rate and expected long-term return on plan assets on pension expense and the projected benefit obligation: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jc w:val="center"/>
              <w:ind w:right="554"/>
              <w:spacing w:after="0"/>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4"/>
                <w:szCs w:val="14"/>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920" w:type="dxa"/>
            <w:vAlign w:val="bottom"/>
            <w:gridSpan w:val="2"/>
          </w:tcPr>
          <w:p>
            <w:pPr>
              <w:jc w:val="center"/>
              <w:ind w:left="922"/>
              <w:spacing w:after="0" w:line="149" w:lineRule="exact"/>
              <w:rPr>
                <w:sz w:val="20"/>
                <w:szCs w:val="20"/>
                <w:color w:val="auto"/>
              </w:rPr>
            </w:pPr>
            <w:r>
              <w:rPr>
                <w:rFonts w:ascii="Arial" w:cs="Arial" w:eastAsia="Arial" w:hAnsi="Arial"/>
                <w:sz w:val="14"/>
                <w:szCs w:val="14"/>
                <w:b w:val="1"/>
                <w:bCs w:val="1"/>
                <w:color w:val="auto"/>
                <w:w w:val="90"/>
              </w:rPr>
              <w:t>(Decrease) in</w:t>
            </w:r>
          </w:p>
        </w:tc>
        <w:tc>
          <w:tcPr>
            <w:tcW w:w="54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(Decrease) in</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920" w:type="dxa"/>
            <w:vAlign w:val="bottom"/>
            <w:gridSpan w:val="2"/>
          </w:tcPr>
          <w:p>
            <w:pPr>
              <w:jc w:val="center"/>
              <w:ind w:left="922"/>
              <w:spacing w:after="0" w:line="149" w:lineRule="exact"/>
              <w:rPr>
                <w:sz w:val="20"/>
                <w:szCs w:val="20"/>
                <w:color w:val="auto"/>
              </w:rPr>
            </w:pPr>
            <w:r>
              <w:rPr>
                <w:rFonts w:ascii="Arial" w:cs="Arial" w:eastAsia="Arial" w:hAnsi="Arial"/>
                <w:sz w:val="14"/>
                <w:szCs w:val="14"/>
                <w:b w:val="1"/>
                <w:bCs w:val="1"/>
                <w:color w:val="auto"/>
                <w:w w:val="89"/>
              </w:rPr>
              <w:t>2016 Pension</w:t>
            </w:r>
          </w:p>
        </w:tc>
        <w:tc>
          <w:tcPr>
            <w:tcW w:w="1680" w:type="dxa"/>
            <w:vAlign w:val="bottom"/>
            <w:gridSpan w:val="2"/>
          </w:tcPr>
          <w:p>
            <w:pPr>
              <w:jc w:val="center"/>
              <w:ind w:left="219"/>
              <w:spacing w:after="0" w:line="149" w:lineRule="exact"/>
              <w:rPr>
                <w:sz w:val="20"/>
                <w:szCs w:val="20"/>
                <w:color w:val="auto"/>
              </w:rPr>
            </w:pPr>
            <w:r>
              <w:rPr>
                <w:rFonts w:ascii="Arial" w:cs="Arial" w:eastAsia="Arial" w:hAnsi="Arial"/>
                <w:sz w:val="14"/>
                <w:szCs w:val="14"/>
                <w:b w:val="1"/>
                <w:bCs w:val="1"/>
                <w:color w:val="auto"/>
                <w:w w:val="92"/>
              </w:rPr>
              <w:t>Projected Benefit</w:t>
            </w:r>
          </w:p>
        </w:tc>
        <w:tc>
          <w:tcPr>
            <w:tcW w:w="0" w:type="dxa"/>
            <w:vAlign w:val="bottom"/>
          </w:tcPr>
          <w:p>
            <w:pPr>
              <w:spacing w:after="0"/>
              <w:rPr>
                <w:sz w:val="1"/>
                <w:szCs w:val="1"/>
                <w:color w:val="auto"/>
              </w:rPr>
            </w:pPr>
          </w:p>
        </w:tc>
      </w:tr>
      <w:tr>
        <w:trPr>
          <w:trHeight w:val="149"/>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basis points)</w:t>
            </w:r>
          </w:p>
        </w:tc>
        <w:tc>
          <w:tcPr>
            <w:tcW w:w="2920" w:type="dxa"/>
            <w:vAlign w:val="bottom"/>
            <w:gridSpan w:val="2"/>
          </w:tcPr>
          <w:p>
            <w:pPr>
              <w:jc w:val="center"/>
              <w:ind w:left="922"/>
              <w:spacing w:after="0" w:line="149" w:lineRule="exact"/>
              <w:rPr>
                <w:sz w:val="20"/>
                <w:szCs w:val="20"/>
                <w:color w:val="auto"/>
              </w:rPr>
            </w:pPr>
            <w:r>
              <w:rPr>
                <w:rFonts w:ascii="Arial" w:cs="Arial" w:eastAsia="Arial" w:hAnsi="Arial"/>
                <w:sz w:val="14"/>
                <w:szCs w:val="14"/>
                <w:b w:val="1"/>
                <w:bCs w:val="1"/>
                <w:color w:val="auto"/>
                <w:w w:val="90"/>
              </w:rPr>
              <w:t>Expense Before</w:t>
            </w:r>
          </w:p>
        </w:tc>
        <w:tc>
          <w:tcPr>
            <w:tcW w:w="54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Obligation at</w:t>
            </w:r>
          </w:p>
        </w:tc>
        <w:tc>
          <w:tcPr>
            <w:tcW w:w="0" w:type="dxa"/>
            <w:vAlign w:val="bottom"/>
          </w:tcPr>
          <w:p>
            <w:pPr>
              <w:spacing w:after="0"/>
              <w:rPr>
                <w:sz w:val="1"/>
                <w:szCs w:val="1"/>
                <w:color w:val="auto"/>
              </w:rPr>
            </w:pPr>
          </w:p>
        </w:tc>
      </w:tr>
      <w:tr>
        <w:trPr>
          <w:trHeight w:val="171"/>
        </w:trPr>
        <w:tc>
          <w:tcPr>
            <w:tcW w:w="6820" w:type="dxa"/>
            <w:vAlign w:val="bottom"/>
            <w:vMerge w:val="continue"/>
          </w:tcPr>
          <w:p>
            <w:pPr>
              <w:spacing w:after="0"/>
              <w:rPr>
                <w:sz w:val="14"/>
                <w:szCs w:val="14"/>
                <w:color w:val="auto"/>
              </w:rPr>
            </w:pPr>
          </w:p>
        </w:tc>
        <w:tc>
          <w:tcPr>
            <w:tcW w:w="2920" w:type="dxa"/>
            <w:vAlign w:val="bottom"/>
            <w:gridSpan w:val="2"/>
          </w:tcPr>
          <w:p>
            <w:pPr>
              <w:jc w:val="center"/>
              <w:ind w:left="922"/>
              <w:spacing w:after="0"/>
              <w:rPr>
                <w:sz w:val="20"/>
                <w:szCs w:val="20"/>
                <w:color w:val="auto"/>
              </w:rPr>
            </w:pPr>
            <w:r>
              <w:rPr>
                <w:rFonts w:ascii="Arial" w:cs="Arial" w:eastAsia="Arial" w:hAnsi="Arial"/>
                <w:sz w:val="14"/>
                <w:szCs w:val="14"/>
                <w:b w:val="1"/>
                <w:bCs w:val="1"/>
                <w:color w:val="auto"/>
                <w:w w:val="90"/>
              </w:rPr>
              <w:t>Income Taxes</w:t>
            </w:r>
          </w:p>
        </w:tc>
        <w:tc>
          <w:tcPr>
            <w:tcW w:w="168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50 basis point decrease in 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50 basis point increase in discount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4"/>
              <w:spacing w:after="0"/>
              <w:rPr>
                <w:sz w:val="20"/>
                <w:szCs w:val="20"/>
                <w:color w:val="auto"/>
              </w:rPr>
            </w:pPr>
            <w:r>
              <w:rPr>
                <w:rFonts w:ascii="Arial" w:cs="Arial" w:eastAsia="Arial" w:hAnsi="Arial"/>
                <w:sz w:val="18"/>
                <w:szCs w:val="18"/>
                <w:color w:val="auto"/>
              </w:rPr>
              <w:t>(0.2)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50 basis point decrease in expected long-term rate of return on plan assets</w:t>
            </w: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50 basis point increase in expected long-term rate of return on plan assets</w:t>
            </w:r>
          </w:p>
        </w:tc>
        <w:tc>
          <w:tcPr>
            <w:tcW w:w="1640" w:type="dxa"/>
            <w:vAlign w:val="bottom"/>
          </w:tcPr>
          <w:p>
            <w:pPr>
              <w:spacing w:after="0"/>
              <w:rPr>
                <w:sz w:val="20"/>
                <w:szCs w:val="20"/>
                <w:color w:val="auto"/>
              </w:rPr>
            </w:pPr>
          </w:p>
        </w:tc>
        <w:tc>
          <w:tcPr>
            <w:tcW w:w="128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actuarial assumptions and estimates made by management in determining our pension benefit obligations may materially differ from actual results 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result of changing market and economic conditions and changes in plan participant assumptions. While we believe the assumptions and estimates used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 differences in actual experience or changes in plan participant assumptions may materially affect our financial position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Goodwill is not subject to amortization but is tested for impairment on an annual basis, or more frequently if impairment indicators arise. We have established October 31 as the date of our annual test for impairment of goodwill. Reporting units with goodwill are tested for impairment by first assessing qualitative factors to determine whether the existence of events or circumstances leads to a determination that it is more likely than not that the fair value of the reporting unit is less than its carrying amount. If after assessing the totality of events or circumstances, or based on management’s judgment, we determine it is more likely than not that the fair value of a reporting unit is less than its carrying amount, a two-step quantitative impairment test is performed.</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When using the two-step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Any significant change in key assumptions may cause the acquisition accounting to be revised. Business combinations are described in Note 3 to our consolidated financial statements included in Part I, Item I of this Quarterly Report on Form 10-Q/A.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related to guarantees is incorporated herein by reference from Note 13 to our condensed consolidated financial statements included in Part I, Item 1 of this Quarterly Report on Form 10-Q/A.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28, 2016, FMC Technologies received an inquiry from the U.S. Department of Justice (“DOJ”) related to the DOJ’s investigation of whether certain services Unaoil S.A.M. provided to its clients, including FMC Technologies, violated the Foreign Corrupt Practices Act. We are cooperating with the DOJ’s and U.S. Securities and Exchange Commission’s inquiries and are conducting our own internal investigation. On March 29, 2016 Technip S.A. also received an inquiry from the DOJ related to Unaoil. We are cooperating with the DOJ’s inquiry and are conducting our own internal investigation.</w:t>
      </w:r>
    </w:p>
    <w:p>
      <w:pPr>
        <w:spacing w:after="0" w:line="15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late 2016, Technip S.A. was contacted by the DOJ, regarding offshore platform projects awarded between 2003 and 2007, performed in Brazil by a joint venture company in which Technip S.A. was a minority participant. We are cooperating with the DOJ in its inquiry into potential improper payments.</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involved in various pending or potential legal actions or disputes in the ordinary course of our business, and management is unable to predict the ultimate outcome of these actions because of their inherent uncertainty. However, management believes that the most probable, ultimate resolution of these matters will not have a material adverse effect on our consolidation financial position, results of operations or cash flows.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to our condensed consolidated financial statements included in Part I, Item 1 of this Quarterly Report on Form 10-Q/A.</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80"/>
          </w:cols>
          <w:pgMar w:left="24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At March 31, 2017 and December 31, 2016, substantially all of our derivative holdings consisted of foreign currency forward contracts and foreign currency instruments embedded in purchase and sale contracts.</w:t>
      </w:r>
    </w:p>
    <w:p>
      <w:pPr>
        <w:spacing w:after="0" w:line="15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at March 31, 2017, would have changed our revenue and income before income taxes attributable to TechnipFMC by approximately 4% and 2%, respectively.</w:t>
      </w:r>
    </w:p>
    <w:p>
      <w:pPr>
        <w:spacing w:after="0" w:line="18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16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have exposure in the unrealized valuation of our forward foreign currency contracts to relative changes in interest rates between countries in our results of operations. Based on our portfolio as of March 31, 2017, we have material positions with exposure to interest rates in the United States, Canada, Australia, Brazil, the United Kingdom, Singapore, the European Community and Norway.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Disclosure Committee, consisting of certain members of management, assists in this evaluation. The Disclosure Committee meets on a quarterly basis and more often if necessary.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with the participation of the Company’s chief executive officer and chief financial officer, evaluated the effectiveness of the Company’s disclosure controls and procedures (as defined in Rules 13a-15(e) and 15d-15(e) promulgated under the Exchange Act) as of the end of the period. At the time that our Quarterly Report on Form 10-Q for the three month period ended March 31, 2017 was filed, our chief executive officer and chief financial officer concluded that our disclosure controls and procedures were effective as of March 31, 2017.</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Subsequent to that evaluation, our chief executive officer and chief financial officer concluded that our disclosure controls and procedures were not effective as of March 31, 2017 because of the material weakness in our internal control over financial reporting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Original Filing, we recognized significant net foreign exchange gains. In July 2017, in connection with a normal course review of the ongoing impact of that gain (and the timing through project completion of the unwinding of the natural hedge that gave rise to the gain) after the end of the quarter ended March 31, 2017, management reviewed the internal procedures in place for recording temporary gains and losses from natural hedges on its projects. As a result of this review, management determined that the Company did not maintain effective controls relating to the calculation of temporary gains and losses from natural hedges on certain of its projects and related foreign exchange adjustments, resulting in errors due to a deviation between the currency rate selected at project inception versus the current rate applicable over time. In late July 2017, management concluded that this deviation led to the misstatement of foreign exchange gains and losses in certain of our engineering and construction projects and the fair value measurement of certain related ownership interests for the periods presented in the Original Filing. The incorrect evaluation of the remeasurement of foreign currency transactions resulted in the misstatements for the periods reported. Additionally, this control deficiency could result in misstatements of the consolidated financial statements that would result in a material misstatement that would not be prevented or detected.</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Management determined that this control deficiency, which resulted in the restatement of the Company’s financial statements for the periods reported, constituted a material weakness in the Company’s internal control over financial reporting. As a result of this material weakness, management has concluded that our internal control over financial reporting was not effective as of March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 for Remediation</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Management took immediate action to address the material weakness described above. Management performed additional analysis and other post-closing procedures designed to ensure that the consolidated financial statements were prepared in accordance with generally accepted accounting principles. They analyzed the control deficiency and promptly implemented corrective actions to ensure proper control and accurate reporting for the June 30, 2017 financial reporting. These actions included the implementation of controls to ensure the accurate remeasurement of gains and losses due to foreign currency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impact for the purpose of external reporting. Management has also revised the internal system for recording and tracking foreign currency gains and losses and for recording asset/liability project positions to ensure that proper remeasurement procedures are performed. With successful operation of these modifications, the Company expects to test these modifications to determine timing of full remediation in subsequent quarters. The Company believes that these additional procedures provide reasonable assurance that the financial statements and other financial information for the three and six month periods ending June 30, 2017 fairly present in all material respects the Company’s financial condition, results of operations and cash flows as of, and for, such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Changes in Internal Control over Financial Reporting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changes in the Company’s internal control over financial reporting implemented after March 31, 2017 to address the material weakness noted above, there were also changes in our internal control over financial reporting during the three months ended March 31, 2017 as a result of the Merger, which were intended to enhance overall internal control over financial reporting and disclosure controls and procedures, as defined in Rules 13a-15(f) and 15d-15(f) under the Exchange Act for the quarter ended March 31, 2017.</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00"/>
          </w:cols>
          <w:pgMar w:left="24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March 29, 2016, Dong Energy (“Dong”) terminated, on the grounds of an alleged material breach, a contract signed on February 27, 2012 with a consortium of Technip France and Daewoo Shipping &amp; Marine Engineering Co., Ltd. This contract covered engineering, procurement, fabrication, hook-up and commissioning assistance for a fixed wellhead and process platform and associated facilities for the Hejre field offshore Denmark. Dong announced that it will not complete and does not intend to take possession of the platform. The parties are currently in arbitration to resolve contract disputes related to the performance and cessation of work under the contract.</w:t>
      </w:r>
    </w:p>
    <w:p>
      <w:pPr>
        <w:spacing w:after="0" w:line="18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are involved in other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The Company has identified a material weakness in its disclosure controls and procedures and internal control over financial reporting. If our remedial measures are insufficient to address the material weakness, or if one or more additional material weaknesses or significant deficiencies in our disclosure controls and procedures or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identified a material weakness in the Company’s disclosure controls and procedures and internal control over financial reporting as of March 31, 2017 relating to the rates used in calculations of foreign currency effects on certain of the Company’s engineering and construction projects and related ownership interests. We did not have sufficient controls in place to provide reasonable assurance that a material error would be prevented or detected related to the rates used in calculations of foreign currency effects on certain of the Company’s engineering and construction projects and related foreign exchange adjustments. This deficiency in the design of our controls resulted in a material error in our financial statements.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a result of this material weakness, our chief executive officer and chief financial officer have concluded that, as of March 31, 2017, our disclosure controls and procedures were not effective at a reasonable assurance level. As a result of the material weakness, management has concluded that our internal control over financial reporting was ineffective as of March 31, 2017.</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reviewed the process to calculate the foreign currency remeasurement effect and has implemented revisions and additional controls designed to ensure that similar computational errors will not recur. To remediate the material weakness in our internal control over financial reporting, the Company will establish policies and procedures for the review, approval and application of generally accepted accounting principles to, and disclosure with respect to, calculations of foreign currency effects.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our remedial measures are insufficient to address the material weakness, or if one or more additional material weaknesses or significant deficiencies in our disclosure controls and procedures or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 restrict our ability to access the capital markets, require significant resources to correct the weaknesses or deficiencies, subject us to fines, penalties or judgments, harm the our reputation or otherwise cause a decline in investor confidence and cause a decline in the market price of our stock.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We cannot provide absolute assurance that additional material weaknesses or significant deficiencies in our disclosure controls and procedures or internal control over financial reporting will not be identified in the future.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changes relating to competitive factors in our industry, including ongoing industry consolidation, may impact our results of operations.</w:t>
      </w:r>
    </w:p>
    <w:p>
      <w:pPr>
        <w:spacing w:after="0" w:line="1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industry, including our customers and competitors, has experienced unanticipated changes in recent years. Moreover, the industry is undergoing consolidation, which may affect demand for our products and services as a result of price concessions or decreased customer capital spending. This consolidation activity could have a significant negative impact on our results of operations, financial condition or cash flows. We are unable to predict what effect consolidations and other competitive factors in the industry may have on prices, capital spending by our customers, our selling strategies, our competitive position, our ability to retain customers or our ability to negotiate favorable agreements with our customers.</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depends on oil and gas industry activity and expenditure levels, which are directly affected by trends in the demand for and price of crude oil and natural gas.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are substantially dependent on conditions in the oil and gas industry, including (i) the level of exploration, development and production activity,</w:t>
      </w:r>
    </w:p>
    <w:p>
      <w:pPr>
        <w:spacing w:after="0" w:line="35" w:lineRule="exact"/>
        <w:rPr>
          <w:sz w:val="20"/>
          <w:szCs w:val="20"/>
          <w:color w:val="auto"/>
        </w:rPr>
      </w:pPr>
    </w:p>
    <w:p>
      <w:pPr>
        <w:ind w:firstLine="8"/>
        <w:spacing w:after="0" w:line="292" w:lineRule="auto"/>
        <w:tabs>
          <w:tab w:leader="none" w:pos="2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capital spending, and (iii) the processing of oil and natural gas in refining units, petrochemical sites and natural gas liquefaction plants by energy companies.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prices of oil and natural gas include, but are not limited to, the following:</w:t>
      </w:r>
    </w:p>
    <w:p>
      <w:pPr>
        <w:spacing w:after="0" w:line="131" w:lineRule="exact"/>
        <w:rPr>
          <w:sz w:val="20"/>
          <w:szCs w:val="20"/>
          <w:color w:val="auto"/>
        </w:rPr>
      </w:pPr>
    </w:p>
    <w:p>
      <w:pPr>
        <w:ind w:left="900" w:right="6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demand for hydrocarbons, which is affected by worldwide population growth, economic growth rates and general economic and business conditions;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exploring for, producing and delivering oil and natural gas;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available excess production capacity within the Organization of Petroleum Exporting Countries (“OPEC”) and the level of oil production by non-OPEC countries;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oil refining capacity and shifts in end-customer preferences toward fuel efficiency and the use of natural gas;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access to capital and credit markets, which may affect our customers’ activity levels and spending for our products and services;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The current downturn in the oil and gas industry has resulted in a reduction in demand for oilfield services and could further adversely affect our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implement new technologies and services.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success depends on the ongoing development and implementation of new product designs, including the processes used by us to produce or market our products, and on our ability to protect and maintain critical intellectual property assets related to these developments. If we are not able to obtain patent or other protection of our intellectual property rights, we may not be able to continue to develop our services, products and related technologies to meet evolving industry requirements, and if so, at prices acceptable to our customers.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industries in which we operate or have operated expose us to potential liabilities, including the installation or use of our products.</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potential liabilities arising from equipment malfunctions, equipment misuse, personal injuries and natural disasters, the occurrence of which may result in uncontrollable flows of gas or well fluids, fires and explosions. Although we have obtained insurance against many of these risks, our insurance may not be adequate to cover our liabilities. Further, the insurance may not generally be available in the future or, if available, premiums may not be commercially justifiable. If we incur substantial liability and the damages are not covered by insurance or are in excess of policy limits, or if we were to incur liability at a time when we are not able to obtain liability insurance, such potential liabilities could have a material adverse effect on our business, results of operations, financial condition or cash flows.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money on fixed-price contracts.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customary for the types of businesses in which we operate, we often agree to provide products and services under fixed-price contracts. We are subject to material risks in connection with such fixed-price contracts. Actual expenses incurred in executing a fixed-price contract can vary substantially from those originally anticipated for several reasons including, but not limited to, the following:</w:t>
      </w:r>
    </w:p>
    <w:p>
      <w:pPr>
        <w:spacing w:after="0" w:line="87"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additional costs related to the purchase of substantial equipment necessary for contract fulfillment;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mechanical failure of our production equipment and machinery;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caused by local weather conditions and/or natural disasters (including earthquakes and floods);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failure of suppliers or subcontractors to perform their contractual obligations.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realization of any material risks and unforeseen circumstances could also lead to delays in the execution schedule of a project. We may be held liable to a customer should we fail to meet project milestones or deadlines or to comply with other contractual provisions. Additionally, delays in certain projects could lead to delays in subsequent projects for which production equipment and machinery currently being utilized on a project were intended.</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terms of fixed-price contracts, we are not always able to increase the price of the contract to reflect factors that were unforeseen at the time its bid was submitted. As a result, it is not possible to estimate with complete certainty the final cost or margin of a project at the time of bidding or during the early phases of its execution. Depending on the size of a project, variations from estimated contract performance could have a significant impact on our financial condition, results of operations or cash flows.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New capital asset construction projects for vessels and plants are subject to risks, including delays and cost overruns, which could have a material adverse effect on our financial condition or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seek to continuously upgrade and develop our asset base. Such projects are subject to risks of delay and cost overruns which are inherent to any large construction project and which are the result of numerous factors including, but not limited to, the following:</w:t>
      </w:r>
    </w:p>
    <w:p>
      <w:pPr>
        <w:spacing w:after="0" w:line="7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unscheduled delays in the delivery or ordered materials and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issues regarding the design and engineering;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shipyard delays and performance issues.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Failure to complete construction in time, or the inability to complete construction in accordance with its design specifications, may result in loss of revenue. Additionally, capital expenditures for construction projects could materially exceed the initially planned investments or can result in delays in putting such assets into operation.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timely delivery of our backlog could affect our future sales, profitability, and our relationships with our customers.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Many of the contracts we enter into with our customers require long manufacturing lead times due to complex technical and logistical requirements. These contracts may contain clauses related to liquidated damages or financial incentives regarding on-time delivery, and a failure by us to deliver in accordance with customer expectations could subject us to liquidated damages or loss of financial incentives, reduce our margins on these contracts or result in damage to existing customer relationships. The ability to meet customer delivery schedules for this backlog is dependent on a number of factors, including, but not limited to, access to the raw materials required for production, an adequately trained and capable workforce, subcontractor performance, project engineering expertise and execution, sufficient manufacturing plant capacity and appropriate planning and scheduling of manufacturing resources. Failure to deliver backlog in accordance with expectations could negatively impact our financial performance, particularly in light of the current industry environment where customers may seek to improve their returns or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subcontractors, suppliers and our joint venture partners.</w:t>
      </w:r>
    </w:p>
    <w:p>
      <w:pPr>
        <w:spacing w:after="0" w:line="117"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generally rely on subcontractors, suppliers and our joint venture partners for the performance of our contracts. Although we are not dependent upon any single supplier, certain geographic areas of our business or a project or group of projects may heavily depend on certain suppliers for raw materials or semi-finished goods. Any difficulty faced by us in hiring suitable subcontractors or acquiring equipment and materials could compromise our ability to generate a significant margin on a project or to complete such project within the allocated timeframe.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delay on the part of subcontractors, suppliers or joint venture partners in the completion of work, any failure on the part of a subcontractor, supplier or joint venture partner to meet its obligations, or any other event attributable to a subcontractor, supplier or joint venture partner that is beyond our control or not foreseeable by us could lead to delays in the overall progress of the project and/or generate significant extra costs. We are exposed to risks presented by the activities of our subcontractors, suppliers and joint venture partners in connection with the performance of their obligations for a project. If subcontractors, suppliers or joint venture partners refuse to adhere to their contractual obligations with us or are unable to do so due to a deterioration of their financial condition, we may be unable to find a suitable replacement at a comparable price, or at all.</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on these potential issues, we could be required to compensate our customers. Moreover, the failure of one of our joint venture partners to perform their obligations in a timely and satisfactory manner could lead to additional obligations and costs being imposed on us as we would be potentially obligated to assume our defaulting partner’s obligations, Even if we were entitled to make a claim for these extra costs against the defaulting supplier, subcontractor or joint venture partner, we could be unable to recover the entirety of these costs and this could materially adversely affect our business, financial condition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dependent on the continuing services of certain of our key managers and employees.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depend on key personnel. The loss of any key personnel could adversely impact our business if we are unable to implement key strategies or transactions in their absence. The loss of qualified employees or an inability to retain and motivate additional highly-skilled employees required for the operation and expansion of our business could hinder our ability to successfully conduct research activities and develop marketable products and services.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Pirates endanger our maritime employees and assets.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material piracy risks in the Gulf of Guinea, the Somali Basin and the Gulf of Aden, and, to a lesser extent, in Southeast Asia, Malacca and the Singapore Straits. Piracy represents a risk for both our projects and our vessels which operate and transmit through sensitive maritime areas. Such risks have the potential to significant harm crews and to negatively impact the execution schedule for our projects. If our maritime employees or assets are endangered, additional time may be required to find an alternative solution, which may delay project realization and negatively impact our business, financial condition or results of operations.</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Due to the types of contracts we enter into and the markets in which we operate, the cumulative loss of several major contracts, customers or alliances may have an adverse effect on our results of operations.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often enter into large, long-term contracts that, collectively, represent a significant portion of our revenue. These agreements, if terminated or breached, may have a larger impact on our operating results or our financial condition that shorter-term contracts due to the value at risk. Moreover, the global market for the production, transportation and transformation of hydrocarbons and by-products, as well as the other industrial markets in which we operate, is dominated by a small number of companies. As a result, our business relies on a limited number of customers. If we were to lose several key contracts, customers or alliances over a relative short period of time, we could experience a significant adverse impact on our financial condition, results of operations or cash flows.</w:t>
      </w: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operations require us to comply with numerous regulations, violations of which could have a material adverse effect on our financial condition, results of operations or cash flows.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and manufacturing activities are governed by international, regional transnational and national laws and regulations in every place where we operate relating to matters such as environmental, health and safety, labor and employment, import/export control, currency exchange, bribery and corruption and taxation. These laws and regulations are complex, frequently change and have tended to become more stringent over time. In the event the scope of these laws and regulations expand in the future, the incremental cost of compliance could adversely impact our financial condition, results of operations or cash flows.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international operations are subject to anti-corruption laws and regulations, such as the U.S. Foreign Corrupt Practices Act of 1977 (the “FCPA”), the U.K. Bribery Act of 2010 (the “Bribery Act”), the Brazilian Anti-Bribery Act (also known as the Brazilian Clean Company Act) and economic and trade sanctions, including those administered by the United Nations, the European Union, the Office of Foreign Assets Control of the U.S. Department of the Treasury (“OFAC”) and the U.S. Department of State. The FCPA prohibits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our transactions or dealings with certain sanctioned countries, territories and designated persons.</w:t>
      </w:r>
    </w:p>
    <w:p>
      <w:pPr>
        <w:spacing w:after="0" w:line="1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a result of doing business in foreign countries, including through partners and agents, we will be exposed to a risk of violating anti-corruption laws and sanctions regulations. Some of the international locations in which we will operate have developing legal systems and may have higher levels of corruption than more developed nations. Our continued expansion and worldwide operations, including in developing countries, our development of joint venture relationships worldwide and the employment of local agents in the countries in which we operate increases the risk of violations of anti-corruption laws and economic and trade sanctions. Violations of anti-corruption laws and economic and trade sanctions are punishable by civil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we believe we have a strong compliance program, including procedures to minimize and detect fraud in a timely manner, and continue efforts to improve our systems of internal controls, we can provide no assurance that the policies and procedures will be followed at all times or will effectively detect and prevent violations of the applicable laws by one or more of our employees, consultants, agents or partners, and, as a result, we could be subject to penalties and material adverse consequences on our business, financial condition or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environmental laws and regulations may adversely affect our business and results of operations.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Environmental laws and regulations in various countries affect the equipment, systems and services we design, market and sell, as well as the facilities where we manufacture our equipment and systems.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or the issuance of orders enjoining operations. These laws and regulations, as well as the adoption of new legal requirements or other laws and regulations affecting exploration and development of drilling for crude oil and natural gas, could adversely affect our business and operating results by increasing our costs, limiting the demand for our products and services or restricting our operations.</w:t>
      </w:r>
    </w:p>
    <w:p>
      <w:pPr>
        <w:spacing w:after="0" w:line="2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Disruptions in the political, regulatory, economic and social conditions of the countries in which we conduct business could adversely affect our business or results of operations.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operate in various countries across the world. Instability and unforeseen changes in any of the markets in which we conduct business, including economically and politically volatile areas such as North Africa, West Africa, the Middle East, and the Commonwealth of Independent States, could have an adverse effect on the demand for our services and products, our financial condition or our results of operations. These factors include, but are not limited to, the following:</w:t>
      </w:r>
    </w:p>
    <w:p>
      <w:pPr>
        <w:spacing w:after="0" w:line="9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burdensome taxation;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inflationary and recessionary markets, including capital and equity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unrest, labor issues, political instability, terrorist attacks, cyber-terrorism, military activity and wars;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supply disruptions in key oil producing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of OPEC to set and maintain production levels and pricing;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 restrictions, trade protection measures or price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restrictions on operations, trade practices, trade partners and investment decisions resulting from domestic and foreign laws and regulations;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and the administration of,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repatriate income or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reductions in the availability of qualified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fluctuations or currency restrictions;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interest rate component of forward foreign currency rates.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and Euroclear Paris may cease to act as depository and clearing agencies for our shares.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shares were issued into the facilities of The Depository Trust Company (“DTC”) with respect to shares listed on the New York Stock Exchange (“NYSE”) and Euroclear with respect to shares listed on Euronext Paris (DTC and Euroclear being referred to as the “Clearance Services”). The Clearance Services are widely used mechanisms that allow for rapid electronic transfers of securities between the participants in their respective systems, which include many large banks and brokerage firms. The Clearance Services have general discretion to cease to act as a depository and clearing agencies for our shares. If the Clearance Services determine at any time that our shares are not eligible for continued deposit and clearance within their facilities, then we believe that our shares would not be eligible for continued listing on the NYSE or Euronext Paris and trading in our shares would be disrupted. While we would pursue alternative arrangements to preserve the listing and maintain trading, any such disruption could have a material adverse effect on the trading price of our shares.</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based in the United Kingdom and have operational headquarters in Paris, France; Houston, Texas, USA; and in London, United Kingdom, with worldwide operations, including material business operations in Europe. In June 2016, a majority of voters in the United Kingdom elected to withdraw from the European Union in a national referendum (“Brexit”). The referendum was advisory, and the terms of any withdrawal are subject to a negotiation period that could last at least two years after the government of the United Kingdom formally initiated its withdrawal process in the first quarter of 2017. Nevertheless, Brexit has created significant uncertainty about the future relationship between the United Kingdom and the European Union and has given rise to calls for certain regions within the United Kingdom to preserve their place in the European Union by separating from the United Kingdom as well as for the governments of other E.U. member states to consider withdrawal.</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developments, or the perception that any of them could occur,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applicable future laws, regulations or treaties as the United Kingdom negotiates the terms of a withdrawal, as well as the operation of any such rules pursuant to any withdrawal terms,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decrease foreign direct investment in the United Kingdom. For example, withdrawal from the European Union could, depending on the negotiated terms of withdrawal, eliminate the benefit of certain tax-related E.U. directives currently applicable to U.K. companies such as us, including the Parent-Subsidiary Directive and the Interest and Royalties Directive, which could, subject to any relief under an available tax treaty, raise our tax costs.</w:t>
      </w:r>
    </w:p>
    <w:p>
      <w:pPr>
        <w:spacing w:after="0" w:line="169"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 Any of these factors could have a material adverse effect on our business, financial condition and results of operations.</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may require stockholder approval which may limit our flexibility to manage our capital structure.</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English law provides that a board of directors may only allot shares or rights to subscribe for, or convert any securities into, shares (other than shares or rights to subscribe for, or convert any securities into, shares in pursuance of an employees’ share scheme) with the prior authorization of stockholders, such authorization being subject to a maximum nominal amount of shares and a maximum period of time (which must not be more than five years), each as specified in the articles of association or relevant stockholder resolution. This authorization would need to be renewed by our stockholders upon its expiration (i.e., at least every five years). At the time of the merger, our articles of association authorized the allotment of additional shares for a period of five years from the date of adoption up to an aggregate nominal amount representing 20% of the number of shares 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capital of the TechnipFMC as of the date of the adoption of the articles of association and post merger, which authorization will need to be renewed upon expiration but may be sought more frequently for additional five-year terms (or any shorter period).</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English law also generally provides stockholders with pre-emptive rights when new shares are issued for cash. However, it is possible for articles of association, or stockholders in general meeting, to exclude or disapply pre-emptive rights for a maximum period of five years as specified in the articles of association or relevant stockholder resolution. This exclusion or disapplication would need to be renewed by our stockholders upon its expiration (i.e., at least once every five years). Our articles of association disapply pre-emptive rights in relation to an allotment of shares for cash pursuant to the authority referred to above for a period of five years following the date of adoption, as permitted under English law, which disapplication will need to be renewed upon expiration to remain effective, but may be sought more frequently for additional five-year terms (or any shorter period).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can be no assurance that circumstances will not arise that would cause renewals of the foregoing stockholder approvals not to be obtained, which would deprive our stockholders of substantial capital management benefits.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English law requires that we meet certain additional financial requirements before we may declare dividends or repurchase shares.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as a public limited company organized under the laws of England and Wales, we may only make a distribution if the amount of our net assets is not less than the aggregate of our called-up share capital and undistributable reserves and if, to the extent that, the distribution does not reduce the amount of those assets to less that that aggregate.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merger, we capitalized our reserves arising out of the merger by the allotment by TechnipFMC of a bonus share, which was paid up using such reserves, such that the amount of such reserves so applied, less the nominal value of the bonus share, would be applied as share premium and accrue to our share premium account. We are implementing a court-approved reduction of our capital in order to create distributable profits to support the payment of possible future dividends or future share repurchases. There can be no assurance that court approval will be obtained in respect of our reducing our capital in order to create distributable profits. Neither the capitalization nor the reduction will impact our stockholders’ relative interest in our capital. Our articles of association permit us by ordinary resolution of the stockholders to declare dividends,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 payment of a dividend, the directors are required under English law to comply with their duties, including considering our future financial requirements.</w:t>
      </w:r>
    </w:p>
    <w:p>
      <w:pPr>
        <w:spacing w:after="0" w:line="2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substantial existing debt. As of March 31, 2017, after giving effect to the Merger, our total debt would have been $3.6 billion. We also have the capacity under our $2.5 billion credit facility and bilateral facilities to incur substantial additional debt. Our level of debt could have important consequences. For example, it could:</w:t>
      </w:r>
    </w:p>
    <w:p>
      <w:pPr>
        <w:spacing w:after="0" w:line="8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130"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the payment of debt service, reducing the availability of our cash flow to fund working capital, capital expenditures, acquisitions, distributions and other general partnership purposes;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Additionally, any failure to meet required payments on our debt, or failure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debt rating could restrict our ability to access the capital markets.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our financing are, in part, dependent on the credit ratings assigned to our debt by independent credit rating agencies. We cannot provide assurance that any of our current credit ratings will remain in effect for any given period of time or that a rating will not be lowered or withdrawn entirely by a rating agency. Factors that may impact our credit ratings include debt levels, capital structure, planned asset purchases or sales, near- and long-term production growth opportunities, market position, liquidity, asset quality, cost structure, product mix, customer and geographic diversification and commodity price levels. A downgrade in our credit ratings, particularly to non-investment grade levels, could limit our ability to access the debt capital markets, refinance our existing debt or cause us to refinance or issue debt with less favorable terms and conditions. Moreover, our revolving credit agreement includes an increase in interest rates if the ratings for our debt are downgraded, which could have an adverse effect on our results of operations. An increase in the level of our indebtedness and related interest costs may increase our vulnerability to adverse general economic and industry conditions and may affect our ability to obtain additional financing.</w:t>
      </w: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Uninsured claims and litigation against us, including intellectual property litigation, could adversely impact our financial condition, results of operations or cash flows.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could be impacted by the outcome of pending litigation, as well as unexpected litigation or proceedings. We have insurance coverage against operating hazards, including product liability claims and personal injury claims related to our products or operating environments in which our employees operate, to the extent deemed prudent by our management and to the extent insurance is available. However, no assurance can be given that the nature and amount of that insurance will be sufficient to fully indemnify us against liabilities arising out of pending and future claims and litigation. Additionally, in individual circumstances, certain proceedings or cases may also lead to our formal or informal exclusion from tenders or the revocation or loss of business licenses or permits. Our financial condition, results of operations or cash flows could be adversely affected by unexpected claims not covered by insurance.</w:t>
      </w:r>
    </w:p>
    <w:p>
      <w:pPr>
        <w:spacing w:after="0" w:line="16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addition, the tools, techniques, methodologies, programs and components we use to provide our services may infringe upon the intellectual property rights of others. Infringement claims generally result in significant legal and other costs. Royalty payments under licenses from third parties, if available, would increase our costs. If a license were not available, we might not be able to continue providing a particular service or product, which could adversely affect our financial condition, results of operations or cash flows. Additionally, developing non-infringing technologies would increase our costs.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could adversely affect our financial condition, results of operations or cash flows.</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conduct operations around the world in a number of different currencies. Because a significant portion of our revenue is denominated in currencies other than our reporting currency, the U.S. dollar, changes in exchange rates will produce fluctuations in our revenue, costs and earnings and may also affect the book value of our assets and liabilities and related equity. We do not hedge translation impacts on earnings, and our efforts to engage in hedging transactions to minimize our current exchange rate exposure for transaction impacts may not be successful. Moreover, certain currencies, specifically currencies in countries such as Angola and Nigeria, do not actively trade in the global foreign exchange markets and may subject us to increased foreign currency exposures. As a result, fluctuations in foreign currency exchange rates may adversely affect our financial condition, results of operations or cash flows.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cost savings, synergies and other benefits expected from the merger of FMC Technologies and Technip.</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combination of two independent companies is a complex, costly and time-consuming process. As a result, we will be required to devote significant management attention and resources to integrating the business practices and operations of Technip and FMC Technologies. The integration process may disrupt our businesses and, if ineffectively implemented, could preclude realization of the full benefits expected from the merger. Our failure to meet the challenges involved in successfully integrating the operations of Technip and FMC Technologies or otherwise to realize the anticipated benefits of the merger could cause an interruption of our operations and could seriously harm our results of operations. In addition, the overall integration of Technip and FMC Technologies may result in material unanticipated problems, expenses, liabilities, competitive responses, loss of client relationships and diversion of management’s attention, and may cause our stock prices to decline. The difficulties of combining the operations of Technip and FMC Technologies include, but is not limited to, the following:</w:t>
      </w:r>
    </w:p>
    <w:p>
      <w:pPr>
        <w:spacing w:after="0" w:line="98"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aligning and executing our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integrating IT, communications and other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taking actions that may be required in connection with obtaining regulatory approvals.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Many of these factors will be outside our control and any one of them could result in increased costs, decreased revenue and diversion of management’s time and energy, which could materially impact our business, financial condition and results of operations. In addition, even if the operations of Technip and FMC Technologies are successfully integrated, we may not realize the full benefits of the merger, including the synergies, cost savings or sales or growth opportunities that we expect. These benefits may not be achieved within the anticipated time frame, or at all. As a result, we cannot assure that the combination of Technip and FMC Technologies will result in the realization of the full benefits expected from the merger.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merger-related costs.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incurred and expect to incur a number of non-recurring direct and indirect costs associated with the merger. In addition to the cost and expenses associated with the consummation of the merger, there are also processes, policies, procedures, operations, technologies and systems that must be integrated in connection with the merger and the integration of Technip and FMC Technologies. While both Technip and FMC Technologies have assumed that a certain level of expenses would be incurred in connection with the merger and continue to assess the magnitude of these costs, there are many factors beyond our control that could affect the total amount or the timing of the integration and implementation expenses. There may also be additional unanticipated significant costs in connection with the merger that we may not recoup. These costs and expenses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could reduce the realization of efficiencies and strategic benefits we expect to achieve from the merger. Although we expect that these benefits will offset the transaction expenses and implementation costs over time, this net benefit may not be achieved in the near term or at all.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of our IT infrastructure could adversely impact our business and results of operations.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efficient operation of our business is dependent on our IT systems. Accordingly, we rely upon the capacity, reliability and security of our IT hardware and software infrastructure and our ability to expand and update this infrastructure in response to changing needs. Despite our implementation of security measures, our systems are vulnerable to damages from computer viruses, natural disasters, incursions by intruders or hackers, failures in hardware or software, power fluctuations, cyber terrorists and other similar disruptions. Additionally, we rely on third parties to support the operation of our IT hardware and software infrastructure, and in certain instances, utilize web-based applications. Although no such material incidents have occurred to date, the failure of our IT systems or those of our vendors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IRS may not agree that we should be treated as a foreign corporation for U.S. federal tax purposes and may seek to impose an excise tax on gains recognized by certain individuals.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are incorporated in the United Kingdom, the U.S. Internal revenue Service (the “IRS”) may assert that we should be treated as a U.S. “domestic” corporation (and, therefore, a U.S. tax resident) for U.S. federal income tax purposes pursuant to Section 7874 of the U.S. Internal Revenue Code of 1986, as amended (the “Code”). For U.S. federal income tax purposes, a corporation is generally considered a U.S. “domestic” corporation (or U.S. tax resident) if it is organized in the United States, and a corporation is generally considered a “foreign” corporation (or non-U.S. tax resident) if it is not a U.S. domestic corporation. Because we are an entity incorporated in England and Wales, we would generally be classified as a foreign corporation (or non-U.S. tax resident) under these rules. Section 7874 provides an exception under which a foreign incorporated entity may, in certain circumstances, be treated as a U.S. domestic corporation for U.S. federal income tax purposes.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Unless we have satisfied the substantial business activities exception, as defined in Section 7874 and described in more detail below (the “Substantial Business Activities Exception”), we will be treated as a U.S. domestic corporation (that is, as a U.S. tax resident) for U.S. federal income tax purposes under Section 7874 if the percentage (by vote or value) of our shares considered to be held by former holders of FMCTI Shares after the merger by reason of holding FMCTI Shares for purposes of Section 7874 (the “Section 7874 Percentage”) is (i) 60% or more (if, as expected, the Third Country Rule (defined below) applies) or (ii) 80% or more (if the Third Country Rule does not apply). In order for us to satisfy the Substantial Business Exception, at least 25% of the employees (by headcount and compensation), real and tangible assets and gross income of our expanded affiliated group must be based, located and derived, respectively, in the United Kingdom. The Substantial Business Activities Exception is not expected to be satisfied. In addition, the IRS and the U.S. Department of the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U.S. domestic company for U.S. federal income tax purposes (the “Third Country Rule”). Because we are a tax resident in the United Kingdom and not a tax resident in France as Technip was, we expect that we would be treated as a U.S. domestic corporation for U.S. federal income tax purposes under the Third Country Rule if the Section 7874 Percentage were at least 60%.</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if the Section 7874 Percentage is calculated to be at least 60%, Section 7874 and the rules related thereto may impose an excise tax under Section 4985 of the Code (the “Section 4985 Excise Tax”) on the gain recognized by certain “disqualified individuals” (including officers and directors of a U.S. company) on certain stock-based compensation held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thereby at a rate equal to 15%, even if the Third Country Rule were to apply such that we were treated as a U.S. domestic corporation for U.S. federal income tax purposes. We may, if we determine that it is appropriate, provide disqualified individuals with a payment with respect to the excise tax, so that, on a net after-tax basis, they would be in the same position as if no such excise tax had been applied.</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believe that the Section 7874 Percentage was less than 60% such that the Third Country Rule is not expected to apply to us and the Section 4985 Excise Tax is not expected to apply to any such “disqualified individuals.” However, the calculation of the Section 7874 Percentage is complex and is subject to detailed Treasury regulations (the application of which is uncertain in various respects and would be impacted by changes in such Treasury regulations). In addition, there can be no assurance that there will not be a change in law, including with retroactive effect, which might cause us to be treated as a U.S. domestic corporation for U.S. federal income tax purposes. Accordingly, we cannot assure you that the IRS will agree with our position and/or would not successfully challenge our status as a foreign corporation.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tax laws and/or IRS guidance could affect our ability to engage in certain acquisition strategies and certain internal restructurings.</w:t>
      </w:r>
    </w:p>
    <w:p>
      <w:pPr>
        <w:spacing w:after="0" w:line="1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are treated as a foreign corporation for U.S. federal income tax purposes, Section 7874 and U.S. Treasury regulations promulgated thereunder may adversely affect our ability to engage in certain future acquisitions of U.S. businesses in exchange for our equity or to otherwise restructure the non-U.S. members of our group, which may affect the tax efficiencies that otherwise might be achieved in such potential future transactions or restructurings.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IRS and the U.S. Treasury have issued final and temporary regulations providing that, even if we are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These regulations may adversely affect our future effective tax rate and could also impact our ability to engage in future restructurings if such transactions cause an existing intercompany debt instrument to be treated as reissued for U.S. federal income tax purposes.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tax laws of numerous jurisdictions, and challenges to the interpretations of, or future changes to, such laws could adversely affect us.</w:t>
      </w:r>
    </w:p>
    <w:p>
      <w:pPr>
        <w:spacing w:after="0" w:line="1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and our subsidiaries are subject to tax laws and regulations in the United Kingdom, the United States, France and numerous other jurisdictions in which we and our subsidiaries operate. These laws and regulations are inherently complex, and we will be obligated to make judgments and interpretations about the application of these laws and regulations to our operations and businesses. The interpretation and application of these laws and regulations could be challenged by the relevant governmental authorities, which could result in administrative or judicial procedures, actions or sanctions, which could be material.</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the U.S. Congress, the U.K. Government,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Additionally, recent legislative proposals would treat us as a U.S. domestic corporation if our management and control of TechnipFMC and its affiliates were determined to be located primarily in the United States and/or would reduce the Section 7874 Percentage threshold at or above which we would be treated as a U.S. domestic corporation. Thus, the tax laws in the United States, the United Kingdom and other countries in which we and our affiliates do business could change on a retroactive basis and any such changes could adversely affect us. Furthermore, the interpretation and application of domestic or international tax laws made by us and by our subsidiaries could differ from that of the relevant governmental authority, which could result in administrative or judicial procedures, actions or sanctions, which could be material.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treaties entered into between the United Kingdom and other countries.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operate in a manner such that we believe we are eligible for benefits under the tax treaties between the United Kingdom and other countries, notably the United States. However, our ability to qualify for such benefits will depend on whether we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treated as a U.K. tax resident and upon the requirements contained in each treaty and the applicable domestic laws, as the case may be, on the facts and circumstances surrounding our operations and management, and on the relevant interpretation of the tax authorities and courts. The failure by us or our subsidiaries to qualify for benefits under the tax treaties entered into between the United Kingdom and other countries could result in adverse tax consequences to us and could result in certain tax consequences of owning and disposing of our shares.</w:t>
      </w:r>
    </w:p>
    <w:p>
      <w:pPr>
        <w:spacing w:after="0" w:line="2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intend to operate so as to be treated exclusively as a resident of the United Kingdom for tax purposes, but French or other tax authorities may seek to treat us as a tax resident of another jurisdiction.</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incorporated in England and Wales. English law currently provides that we will be regarded as being a U.K. resident for tax purposes from incorporation and shall remain so unless (i) we are concurrently a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this regard, we have a permanent establishment in France to satisfy certain French tax requirements imposed by the French Tax Code with respect to the Technip Merger. Although it is intended that we will be treated as having our exclusive place of tax residence in the United Kingdom, the French tax authorities may claim that we are a tax resident of France if we were to fail to maintain our “place of effective management” in the United Kingdom due to the French tax authorities having deemed that certain strategic decisions of TechnipFMC have been taken at the level of our French permanent establishment rather than in the United Kingdom. Any such claim would need to be settled between the French and the U.K. tax authorities pursuant to the mutual assistance procedure provided for by the tax treaty dated June 19, 2008 concluded between France and the U.K. (the “France-U.K. Treaty”), and there is no assurance that these authorities would reach an agreement that we will remain exclusively a U.K. tax resident, which could materially and adversely affect our business, financial condition, results of operations and future prospects. A failure to maintain exclusive tax residency in the United Kingdom could result in adverse tax consequences to us and our subsidiaries and could result in different tax consequences of owning and disposing of our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320"/>
        <w:spacing w:after="0" w:line="445"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color w:val="auto"/>
        </w:rPr>
        <w:t>We had no unregistered sales of equity securities during the three months ended March 31,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March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760" w:type="dxa"/>
            <w:vAlign w:val="bottom"/>
          </w:tcPr>
          <w:p>
            <w:pPr>
              <w:spacing w:after="0"/>
              <w:rPr>
                <w:sz w:val="14"/>
                <w:szCs w:val="14"/>
                <w:color w:val="auto"/>
              </w:rPr>
            </w:pPr>
          </w:p>
        </w:tc>
        <w:tc>
          <w:tcPr>
            <w:tcW w:w="1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7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740" w:type="dxa"/>
            <w:vAlign w:val="bottom"/>
          </w:tcPr>
          <w:p>
            <w:pPr>
              <w:spacing w:after="0"/>
              <w:rPr>
                <w:sz w:val="12"/>
                <w:szCs w:val="12"/>
                <w:color w:val="auto"/>
              </w:rPr>
            </w:pPr>
          </w:p>
        </w:tc>
        <w:tc>
          <w:tcPr>
            <w:tcW w:w="160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w w:val="89"/>
              </w:rPr>
              <w:t>Average 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76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76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340" w:type="dxa"/>
            <w:vAlign w:val="bottom"/>
            <w:gridSpan w:val="2"/>
            <w:vMerge w:val="restart"/>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Paid per</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76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the Plans or</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340" w:type="dxa"/>
            <w:vAlign w:val="bottom"/>
            <w:tcBorders>
              <w:bottom w:val="single" w:sz="8" w:color="CCEEFF"/>
            </w:tcBorders>
            <w:gridSpan w:val="2"/>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(a)</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Share</w:t>
            </w:r>
          </w:p>
        </w:tc>
        <w:tc>
          <w:tcPr>
            <w:tcW w:w="7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7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2017—January 31,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February 1, 2017—February 28, 2017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31.88</w:t>
            </w:r>
          </w:p>
        </w:tc>
        <w:tc>
          <w:tcPr>
            <w:tcW w:w="740" w:type="dxa"/>
            <w:vAlign w:val="bottom"/>
          </w:tcPr>
          <w:p>
            <w:pPr>
              <w:spacing w:after="0"/>
              <w:rPr>
                <w:sz w:val="18"/>
                <w:szCs w:val="18"/>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2017—March 31, 2017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36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ordinary shares purchased and held in an employee benefit trust established for the FMC Technologies, Inc. Non-Qualified Savings and Investment Plan. In addition to these shares purchased on the open market, we sold 24,840 shares of registered ordinary shares held in this trust, as directed by the beneficiaries during the three months ended March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section 13(r) of the Securities Exchange Act, two of our non-U.S. subsidiaries have contracts with entities in Iran. We are preparing a feasibility study related to improvements to an olefins plant in Iran that we expect to complete in the second quarter of 2017. We are also providing engineering and design services for the construction of an ethylene plant in Iran, which is expected to be completed over the next eighteen months. All activities were conducted, and will be conducted, outside the United States by non-U.S. entities in compliance with applicable law. We received no revenue under either contract for the three months ended March 31, 2017. The expected gross revenue from the olefins plant and the ethylene plant is 250,000 Euros and 8,000,000 Euros, respectively, which is less than 0.18% of our pro forma revenues for the fiscal year ended December 31, 2016. Net profit from the two contracts is unknown at this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required by this item is incorporated herein by reference from the section entitled “Index of Exhibits” of this Quarterly Report on Form 10-Q/A for the period ended March 31,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Maryann T. Mannen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a Duly Authorized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10360" w:type="dxa"/>
            <w:vAlign w:val="bottom"/>
          </w:tcPr>
          <w:p>
            <w:pPr>
              <w:ind w:left="220"/>
              <w:spacing w:after="0"/>
              <w:rPr>
                <w:sz w:val="20"/>
                <w:szCs w:val="20"/>
                <w:color w:val="auto"/>
              </w:rPr>
            </w:pPr>
            <w:r>
              <w:rPr>
                <w:rFonts w:ascii="Arial" w:cs="Arial" w:eastAsia="Arial" w:hAnsi="Arial"/>
                <w:sz w:val="16"/>
                <w:szCs w:val="16"/>
                <w:b w:val="1"/>
                <w:bCs w:val="1"/>
                <w:color w:val="auto"/>
              </w:rPr>
              <w:t>Exhibit Description</w:t>
            </w:r>
          </w:p>
        </w:tc>
      </w:tr>
      <w:tr>
        <w:trPr>
          <w:trHeight w:val="316"/>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2.1</w:t>
            </w:r>
          </w:p>
        </w:tc>
        <w:tc>
          <w:tcPr>
            <w:tcW w:w="10360" w:type="dxa"/>
            <w:vAlign w:val="bottom"/>
          </w:tcPr>
          <w:p>
            <w:pPr>
              <w:ind w:left="220"/>
              <w:spacing w:after="0"/>
              <w:rPr>
                <w:sz w:val="20"/>
                <w:szCs w:val="20"/>
                <w:color w:val="auto"/>
              </w:rPr>
            </w:pPr>
            <w:r>
              <w:rPr>
                <w:rFonts w:ascii="Arial" w:cs="Arial" w:eastAsia="Arial" w:hAnsi="Arial"/>
                <w:sz w:val="18"/>
                <w:szCs w:val="18"/>
                <w:color w:val="auto"/>
                <w:w w:val="97"/>
              </w:rPr>
              <w:t>Business Combination Agreement, dated as of June 14, 2016, by and among FMC Technologies, Inc., TechnipFMC plc (f/k/a FMC</w:t>
            </w:r>
          </w:p>
        </w:tc>
      </w:tr>
      <w:tr>
        <w:trPr>
          <w:trHeight w:val="216"/>
        </w:trPr>
        <w:tc>
          <w:tcPr>
            <w:tcW w:w="10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4"/>
              </w:rPr>
              <w:t>Technologies SIS Limited) and Technip S.A. (incorporated by reference from Annex A-1 to the Registration Statement on Form S-4, as</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amended, filed on October 21, 2016) (File No. 333-213067)</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360" w:type="dxa"/>
            <w:vAlign w:val="bottom"/>
          </w:tcPr>
          <w:p>
            <w:pPr>
              <w:ind w:left="220"/>
              <w:spacing w:after="0"/>
              <w:rPr>
                <w:sz w:val="20"/>
                <w:szCs w:val="20"/>
                <w:color w:val="auto"/>
              </w:rPr>
            </w:pPr>
            <w:r>
              <w:rPr>
                <w:rFonts w:ascii="Arial" w:cs="Arial" w:eastAsia="Arial" w:hAnsi="Arial"/>
                <w:sz w:val="18"/>
                <w:szCs w:val="18"/>
                <w:color w:val="auto"/>
                <w:w w:val="99"/>
              </w:rPr>
              <w:t>Articles of Association of TechnipFMC plc (incorporated by reference from Exhibit 3.1 to the Current Report on Form 8-K filed on</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January 17, 2017) (File No. 001-37983/Film No. 17529076)</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10360" w:type="dxa"/>
            <w:vAlign w:val="bottom"/>
          </w:tcPr>
          <w:p>
            <w:pPr>
              <w:ind w:left="220"/>
              <w:spacing w:after="0"/>
              <w:rPr>
                <w:sz w:val="20"/>
                <w:szCs w:val="20"/>
                <w:color w:val="auto"/>
              </w:rPr>
            </w:pPr>
            <w:r>
              <w:rPr>
                <w:rFonts w:ascii="Arial" w:cs="Arial" w:eastAsia="Arial" w:hAnsi="Arial"/>
                <w:sz w:val="18"/>
                <w:szCs w:val="18"/>
                <w:color w:val="auto"/>
                <w:w w:val="93"/>
              </w:rPr>
              <w:t>Indenture, dated March 29, 2017, between TechnipFMC plc and U.S. Bank National Association (incorporated by reference from Exhibit</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4.1 to the Current Report on Form 8-K filed on March 30, 2017) (File No. 001-37983)</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10360" w:type="dxa"/>
            <w:vAlign w:val="bottom"/>
          </w:tcPr>
          <w:p>
            <w:pPr>
              <w:ind w:left="220"/>
              <w:spacing w:after="0"/>
              <w:rPr>
                <w:sz w:val="20"/>
                <w:szCs w:val="20"/>
                <w:color w:val="auto"/>
              </w:rPr>
            </w:pPr>
            <w:r>
              <w:rPr>
                <w:rFonts w:ascii="Arial" w:cs="Arial" w:eastAsia="Arial" w:hAnsi="Arial"/>
                <w:sz w:val="18"/>
                <w:szCs w:val="18"/>
                <w:color w:val="auto"/>
                <w:w w:val="92"/>
              </w:rPr>
              <w:t>First Supplemental Indenture, dated March 29, 2017, between TechnipFMC plc and U.S. Bank National Association, as trustee (including</w:t>
            </w:r>
          </w:p>
        </w:tc>
      </w:tr>
      <w:tr>
        <w:trPr>
          <w:trHeight w:val="216"/>
        </w:trPr>
        <w:tc>
          <w:tcPr>
            <w:tcW w:w="10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8"/>
              </w:rPr>
              <w:t>the form of 2.00% Senior Notes due 2017) (incorporated by reference from Exhibit 4.2 to the Current Report on Form 8-K filed on</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March 30, 2017) (File No. 001-37983)</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6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March 29, 2017, between TechnipFMC plc and U.S. Bank National Association, as trustee (including</w:t>
            </w:r>
          </w:p>
        </w:tc>
      </w:tr>
      <w:tr>
        <w:trPr>
          <w:trHeight w:val="216"/>
        </w:trPr>
        <w:tc>
          <w:tcPr>
            <w:tcW w:w="10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8"/>
              </w:rPr>
              <w:t>the form of 3.45% Senior Notes due 2022) (incorporated by reference from Exhibit 4.3 to the Current Report on Form 8-K filed on</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March 30, 2017) (File No. 001-37983)</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360" w:type="dxa"/>
            <w:vAlign w:val="bottom"/>
          </w:tcPr>
          <w:p>
            <w:pPr>
              <w:ind w:left="220"/>
              <w:spacing w:after="0"/>
              <w:rPr>
                <w:sz w:val="20"/>
                <w:szCs w:val="20"/>
                <w:color w:val="auto"/>
              </w:rPr>
            </w:pPr>
            <w:r>
              <w:rPr>
                <w:rFonts w:ascii="Arial" w:cs="Arial" w:eastAsia="Arial" w:hAnsi="Arial"/>
                <w:sz w:val="18"/>
                <w:szCs w:val="18"/>
                <w:color w:val="auto"/>
                <w:w w:val="96"/>
              </w:rPr>
              <w:t>Registration Rights Agreement, dated March 29, 2017, between TechnipFMC plc, and each of Merrill Lynch, Pierce, Fenner &amp; Smith</w:t>
            </w:r>
          </w:p>
        </w:tc>
      </w:tr>
      <w:tr>
        <w:trPr>
          <w:trHeight w:val="216"/>
        </w:trPr>
        <w:tc>
          <w:tcPr>
            <w:tcW w:w="10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3"/>
              </w:rPr>
              <w:t>Incorporated and Wells Fargo Securities, LLC, as dealer managers (incorporated by reference from Exhibit 4.4 to the Current Report on</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Form 8-K filed on March 30, 2017) (File No. 001-37983)</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60" w:type="dxa"/>
            <w:vAlign w:val="bottom"/>
          </w:tcPr>
          <w:p>
            <w:pPr>
              <w:ind w:left="220"/>
              <w:spacing w:after="0"/>
              <w:rPr>
                <w:sz w:val="20"/>
                <w:szCs w:val="20"/>
                <w:color w:val="auto"/>
              </w:rPr>
            </w:pPr>
            <w:r>
              <w:rPr>
                <w:rFonts w:ascii="Arial" w:cs="Arial" w:eastAsia="Arial" w:hAnsi="Arial"/>
                <w:sz w:val="18"/>
                <w:szCs w:val="18"/>
                <w:color w:val="auto"/>
                <w:w w:val="91"/>
              </w:rPr>
              <w:t>TechnipFMC plc Company Incentive Plan, adopted on January 11, 2017 (incorporated by reference from Exhibit 10.1 to the Current Report</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on Form 8-K filed on January 17, 2017) (File No. 001-37983/Film No. 17529076)</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360" w:type="dxa"/>
            <w:vAlign w:val="bottom"/>
          </w:tcPr>
          <w:p>
            <w:pPr>
              <w:ind w:left="220"/>
              <w:spacing w:after="0"/>
              <w:rPr>
                <w:sz w:val="20"/>
                <w:szCs w:val="20"/>
                <w:color w:val="auto"/>
              </w:rPr>
            </w:pPr>
            <w:r>
              <w:rPr>
                <w:rFonts w:ascii="Arial" w:cs="Arial" w:eastAsia="Arial" w:hAnsi="Arial"/>
                <w:sz w:val="18"/>
                <w:szCs w:val="18"/>
                <w:color w:val="auto"/>
                <w:w w:val="99"/>
              </w:rPr>
              <w:t>Sixth Amendment to the Amended and Restated FMC Technologies, Inc. Savings and Investment Plan, dated January 13, 2017</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1"/>
              </w:rPr>
              <w:t>(incorporated by reference from Exhibit 4.1(f) to the Registration Statement on Form S-8 filed on February 27, 2017) (File No. 333-216284)</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10360" w:type="dxa"/>
            <w:vAlign w:val="bottom"/>
          </w:tcPr>
          <w:p>
            <w:pPr>
              <w:ind w:left="220"/>
              <w:spacing w:after="0"/>
              <w:rPr>
                <w:sz w:val="20"/>
                <w:szCs w:val="20"/>
                <w:color w:val="auto"/>
              </w:rPr>
            </w:pPr>
            <w:r>
              <w:rPr>
                <w:rFonts w:ascii="Arial" w:cs="Arial" w:eastAsia="Arial" w:hAnsi="Arial"/>
                <w:sz w:val="18"/>
                <w:szCs w:val="18"/>
                <w:color w:val="auto"/>
                <w:w w:val="94"/>
              </w:rPr>
              <w:t>Form of Executive Director Appointment Letter (incorporated by reference from Exhibit 10.2 to the Current Report on Form 8-K filed on</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January 17, 2017) (File No. 001-37983/Film No. 17529076)</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10360" w:type="dxa"/>
            <w:vAlign w:val="bottom"/>
          </w:tcPr>
          <w:p>
            <w:pPr>
              <w:ind w:left="220"/>
              <w:spacing w:after="0"/>
              <w:rPr>
                <w:sz w:val="20"/>
                <w:szCs w:val="20"/>
                <w:color w:val="auto"/>
              </w:rPr>
            </w:pPr>
            <w:r>
              <w:rPr>
                <w:rFonts w:ascii="Arial" w:cs="Arial" w:eastAsia="Arial" w:hAnsi="Arial"/>
                <w:sz w:val="18"/>
                <w:szCs w:val="18"/>
                <w:color w:val="auto"/>
                <w:w w:val="93"/>
              </w:rPr>
              <w:t>Form of Director Appointment Letter (incorporated by reference from Exhibit 10.3 to the Current Report on Form 8-K filed on January 17,</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2017) (File No. 001-37983/Film No. 17529076)</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10.5</w:t>
            </w:r>
          </w:p>
        </w:tc>
        <w:tc>
          <w:tcPr>
            <w:tcW w:w="10360" w:type="dxa"/>
            <w:vAlign w:val="bottom"/>
          </w:tcPr>
          <w:p>
            <w:pPr>
              <w:ind w:left="220"/>
              <w:spacing w:after="0"/>
              <w:rPr>
                <w:sz w:val="20"/>
                <w:szCs w:val="20"/>
                <w:color w:val="auto"/>
              </w:rPr>
            </w:pPr>
            <w:r>
              <w:rPr>
                <w:rFonts w:ascii="Arial" w:cs="Arial" w:eastAsia="Arial" w:hAnsi="Arial"/>
                <w:sz w:val="18"/>
                <w:szCs w:val="18"/>
                <w:color w:val="auto"/>
                <w:w w:val="96"/>
              </w:rPr>
              <w:t>Form of Deed of Indemnification (Directors) (incorporated by reference from Exhibit 10.2 to the Current Report on Form 8-K filed on</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January 17, 2017) (File No. 001-37983/Film No. 17529087)</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10.6</w:t>
            </w:r>
          </w:p>
        </w:tc>
        <w:tc>
          <w:tcPr>
            <w:tcW w:w="10360" w:type="dxa"/>
            <w:vAlign w:val="bottom"/>
          </w:tcPr>
          <w:p>
            <w:pPr>
              <w:ind w:left="220"/>
              <w:spacing w:after="0"/>
              <w:rPr>
                <w:sz w:val="20"/>
                <w:szCs w:val="20"/>
                <w:color w:val="auto"/>
              </w:rPr>
            </w:pPr>
            <w:r>
              <w:rPr>
                <w:rFonts w:ascii="Arial" w:cs="Arial" w:eastAsia="Arial" w:hAnsi="Arial"/>
                <w:sz w:val="18"/>
                <w:szCs w:val="18"/>
                <w:color w:val="auto"/>
                <w:w w:val="92"/>
              </w:rPr>
              <w:t>Form of Deed of Indemnification (Executive Officers) (incorporated by reference from Exhibit 10.3 to the Current Report on Form 8-K filed</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on January 17, 2017) (File No. 001-37983/Film No. 17529087)</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10.7</w:t>
            </w:r>
          </w:p>
        </w:tc>
        <w:tc>
          <w:tcPr>
            <w:tcW w:w="10360" w:type="dxa"/>
            <w:vAlign w:val="bottom"/>
          </w:tcPr>
          <w:p>
            <w:pPr>
              <w:ind w:left="220"/>
              <w:spacing w:after="0"/>
              <w:rPr>
                <w:sz w:val="20"/>
                <w:szCs w:val="20"/>
                <w:color w:val="auto"/>
              </w:rPr>
            </w:pPr>
            <w:r>
              <w:rPr>
                <w:rFonts w:ascii="Arial" w:cs="Arial" w:eastAsia="Arial" w:hAnsi="Arial"/>
                <w:sz w:val="18"/>
                <w:szCs w:val="18"/>
                <w:color w:val="auto"/>
                <w:w w:val="95"/>
              </w:rPr>
              <w:t>Form of Deed of Indemnification (Executive Directors) (incorporated by reference from Exhibit 10.4 to the Current Report on Form 8-K</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filed on January 17, 2017) (File No. 001-37983/Film No. 17529087)</w:t>
            </w:r>
          </w:p>
        </w:tc>
      </w:tr>
      <w:tr>
        <w:trPr>
          <w:trHeight w:val="310"/>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10.8</w:t>
            </w:r>
          </w:p>
        </w:tc>
        <w:tc>
          <w:tcPr>
            <w:tcW w:w="10360" w:type="dxa"/>
            <w:vAlign w:val="bottom"/>
          </w:tcPr>
          <w:p>
            <w:pPr>
              <w:ind w:left="220"/>
              <w:spacing w:after="0"/>
              <w:rPr>
                <w:sz w:val="20"/>
                <w:szCs w:val="20"/>
                <w:color w:val="auto"/>
              </w:rPr>
            </w:pPr>
            <w:r>
              <w:rPr>
                <w:rFonts w:ascii="Arial" w:cs="Arial" w:eastAsia="Arial" w:hAnsi="Arial"/>
                <w:sz w:val="18"/>
                <w:szCs w:val="18"/>
                <w:color w:val="auto"/>
                <w:w w:val="92"/>
              </w:rPr>
              <w:t>$2,500,000,000 Facility Agreement, dated as of January 12, 2017, by and among FMC Technologies, Inc. and Technip Eurocash SNC, as</w:t>
            </w:r>
          </w:p>
        </w:tc>
      </w:tr>
      <w:tr>
        <w:trPr>
          <w:trHeight w:val="216"/>
        </w:trPr>
        <w:tc>
          <w:tcPr>
            <w:tcW w:w="10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w w:val="90"/>
              </w:rPr>
              <w:t>borrowers; JPMorgan Chase Bank, N.A. as agent and an arranger; SG Americas Securities LLC as an arranger; and the other lenders party</w:t>
            </w:r>
          </w:p>
        </w:tc>
      </w:tr>
      <w:tr>
        <w:trPr>
          <w:trHeight w:val="216"/>
        </w:trPr>
        <w:tc>
          <w:tcPr>
            <w:tcW w:w="1040" w:type="dxa"/>
            <w:vAlign w:val="bottom"/>
          </w:tcPr>
          <w:p>
            <w:pPr>
              <w:spacing w:after="0"/>
              <w:rPr>
                <w:sz w:val="18"/>
                <w:szCs w:val="18"/>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thereto (incorporated by reference from Exhibit 10.1 to the Current Report on Form 8-K filed on January 17, 2017) (File No.</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001-37983/Film No. 17529087)</w:t>
            </w:r>
          </w:p>
        </w:tc>
      </w:tr>
      <w:tr>
        <w:trPr>
          <w:trHeight w:val="324"/>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103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Rule 13a-14(a) and Rule 15d-14(a)</w:t>
            </w:r>
          </w:p>
        </w:tc>
      </w:tr>
      <w:tr>
        <w:trPr>
          <w:trHeight w:val="324"/>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1036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Rule 13a-14(a) and Rule 15d-14(a)</w:t>
            </w:r>
          </w:p>
        </w:tc>
      </w:tr>
      <w:tr>
        <w:trPr>
          <w:trHeight w:val="324"/>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32.1*</w:t>
            </w:r>
          </w:p>
        </w:tc>
        <w:tc>
          <w:tcPr>
            <w:tcW w:w="103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906 of the Sarbanes-Oxley Act of 2002, 18 U.S.C. 1350</w:t>
            </w:r>
          </w:p>
        </w:tc>
      </w:tr>
      <w:tr>
        <w:trPr>
          <w:trHeight w:val="324"/>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32.2*</w:t>
            </w:r>
          </w:p>
        </w:tc>
        <w:tc>
          <w:tcPr>
            <w:tcW w:w="1036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906 of the Sarbanes-Oxley Act of 2002, 18 U.S.C. 1350</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Schema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Label Linkbase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Form 10-Q/A</w:t>
      </w:r>
    </w:p>
    <w:p>
      <w:pPr>
        <w:sectPr>
          <w:pgSz w:w="11900" w:h="16838" w:orient="portrait"/>
          <w:cols w:equalWidth="0" w:num="1">
            <w:col w:w="11400"/>
          </w:cols>
          <w:pgMar w:left="240" w:top="459" w:right="2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J. Pferdehirt, certify that:</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TechnipFMC plc (the “registrant”);</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240" w:hanging="446"/>
        <w:spacing w:after="0" w:line="29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60" w:hanging="440"/>
        <w:spacing w:after="0" w:line="264"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60" w:hanging="440"/>
        <w:spacing w:after="0" w:line="286" w:lineRule="auto"/>
        <w:tabs>
          <w:tab w:leader="none" w:pos="1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20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00" w:hanging="440"/>
        <w:spacing w:after="0" w:line="277" w:lineRule="auto"/>
        <w:tabs>
          <w:tab w:leader="none" w:pos="1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Douglas J. Pferdehirt</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Maryann T. Mannen, certify that:</w:t>
      </w:r>
    </w:p>
    <w:p>
      <w:pPr>
        <w:spacing w:after="0" w:line="13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TechnipFMC plc (the “registrant”);</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240" w:hanging="446"/>
        <w:spacing w:after="0" w:line="29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920" w:right="100" w:hanging="440"/>
        <w:spacing w:after="0" w:line="286" w:lineRule="auto"/>
        <w:tabs>
          <w:tab w:leader="none" w:pos="1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60" w:hanging="440"/>
        <w:spacing w:after="0" w:line="264"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60" w:hanging="440"/>
        <w:spacing w:after="0" w:line="286" w:lineRule="auto"/>
        <w:tabs>
          <w:tab w:leader="none" w:pos="1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200" w:hanging="446"/>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00" w:hanging="440"/>
        <w:spacing w:after="0" w:line="277"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Maryann T. Mannen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 U.S.C. SECTION 1350</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 Douglas J. Pferdehirt, Chief Executive Officer of TechnipFMC plc (the “Company”), do hereby certify, pursuant to 18 U.S.C. Section 1350, as adopted pursuant to Section 906 of the Sarbanes-Oxley Act of 2002, that, to my knowledge:</w:t>
      </w:r>
    </w:p>
    <w:p>
      <w:pPr>
        <w:spacing w:after="0" w:line="170" w:lineRule="exact"/>
        <w:rPr>
          <w:sz w:val="20"/>
          <w:szCs w:val="20"/>
          <w:color w:val="auto"/>
        </w:rPr>
      </w:pPr>
    </w:p>
    <w:p>
      <w:pPr>
        <w:ind w:right="80" w:firstLine="8"/>
        <w:spacing w:after="0" w:line="308"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Quarterly Report on Form 10-Q/A of the Company for the quarter ended March 31, 2017, as filed with the Securities and Exchange Commission (the “Report”), fully complies with the requirements of Section 13(a) or 15(d) of the Securities Exchange Act of 1934, as amended; and</w:t>
      </w:r>
    </w:p>
    <w:p>
      <w:pPr>
        <w:spacing w:after="0" w:line="146" w:lineRule="exact"/>
        <w:rPr>
          <w:rFonts w:ascii="Arial" w:cs="Arial" w:eastAsia="Arial" w:hAnsi="Arial"/>
          <w:sz w:val="17"/>
          <w:szCs w:val="17"/>
          <w:color w:val="auto"/>
        </w:rPr>
      </w:pPr>
    </w:p>
    <w:p>
      <w:pPr>
        <w:ind w:left="260" w:hanging="252"/>
        <w:spacing w:after="0"/>
        <w:tabs>
          <w:tab w:leader="none" w:pos="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Douglas J. Pferdehirt</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211" w:lineRule="exact"/>
        <w:rPr>
          <w:sz w:val="20"/>
          <w:szCs w:val="20"/>
          <w:color w:val="auto"/>
        </w:rPr>
      </w:pPr>
    </w:p>
    <w:p>
      <w:pPr>
        <w:ind w:right="80" w:firstLine="8"/>
        <w:spacing w:after="0" w:line="308" w:lineRule="auto"/>
        <w:tabs>
          <w:tab w:leader="none" w:pos="2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Quarterly Report on Form 10-Q/A of the Company for the quarter ended March 31, 2017, as filed with the Securities and Exchange Commission (the “Report”), fully complies with the requirements of Section 13(a) or 15(d) of the Securities Exchange Act of 1934, as amended; and</w:t>
      </w:r>
    </w:p>
    <w:p>
      <w:pPr>
        <w:spacing w:after="0" w:line="146" w:lineRule="exact"/>
        <w:rPr>
          <w:rFonts w:ascii="Arial" w:cs="Arial" w:eastAsia="Arial" w:hAnsi="Arial"/>
          <w:sz w:val="17"/>
          <w:szCs w:val="17"/>
          <w:color w:val="auto"/>
        </w:rPr>
      </w:pPr>
    </w:p>
    <w:p>
      <w:pPr>
        <w:ind w:left="260" w:hanging="252"/>
        <w:spacing w:after="0"/>
        <w:tabs>
          <w:tab w:leader="none" w:pos="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Maryann T. Mannen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lowerRoman"/>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2019-12-29T05:40:45Z</dcterms:created>
  <dcterms:modified xsi:type="dcterms:W3CDTF">2019-12-29T05:40:45Z</dcterms:modified>
</cp:coreProperties>
</file>