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55" w:hAnchor="page" w:vAnchor="page" w:x="280" w:y="7376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10966" w:hAnchor="page" w:vAnchor="page" w:x="821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Fee computed on table in exhibit required by Item 25(b) per Exchange Act Rules 14a-6(i)(1) and 0-11</w:t>
      </w:r>
    </w:p>
    <w:p>
      <w:pPr>
        <w:pStyle w:val="Normal"/>
        <w:framePr w:w="455" w:hAnchor="page" w:vAnchor="page" w:x="280" w:y="7150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5097" w:hAnchor="page" w:vAnchor="page" w:x="821" w:y="715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Fee paid previously with preliminary materials</w:t>
      </w:r>
    </w:p>
    <w:p>
      <w:pPr>
        <w:pStyle w:val="Normal"/>
        <w:framePr w:w="455" w:hAnchor="page" w:vAnchor="page" w:x="280" w:y="6925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☒</w:t>
      </w:r>
    </w:p>
    <w:p>
      <w:pPr>
        <w:pStyle w:val="Normal"/>
        <w:framePr w:w="1895" w:hAnchor="page" w:vAnchor="page" w:x="821" w:y="69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No fee required</w:t>
      </w:r>
    </w:p>
    <w:p>
      <w:pPr>
        <w:pStyle w:val="Normal"/>
        <w:framePr w:w="5672" w:hAnchor="page" w:vAnchor="page" w:x="280" w:y="67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Payment of Filing Fee (Check all boxes that apply):</w:t>
      </w:r>
    </w:p>
    <w:p>
      <w:pPr>
        <w:pStyle w:val="Normal"/>
        <w:framePr w:w="4229" w:hAnchor="page" w:vAnchor="page" w:x="2724" w:y="62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(Name of Person(s) Filing Proxy</w:t>
      </w:r>
    </w:p>
    <w:p>
      <w:pPr>
        <w:pStyle w:val="Normal"/>
        <w:framePr w:w="4749" w:hAnchor="page" w:vAnchor="page" w:x="5759" w:y="62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 xml:space="preserve"> Statement, if other than the Registrant)</w:t>
      </w:r>
    </w:p>
    <w:p>
      <w:pPr>
        <w:pStyle w:val="Normal"/>
        <w:framePr w:w="480" w:hAnchor="page" w:vAnchor="page" w:x="6020" w:y="604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 </w:t>
      </w:r>
    </w:p>
    <w:p>
      <w:pPr>
        <w:pStyle w:val="Normal"/>
        <w:framePr w:w="5617" w:hAnchor="page" w:vAnchor="page" w:x="3880" w:y="58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(Name of Registrant as Specified In Its Charter)</w:t>
      </w:r>
    </w:p>
    <w:p>
      <w:pPr>
        <w:pStyle w:val="Normal"/>
        <w:framePr w:w="5196" w:hAnchor="page" w:vAnchor="page" w:x="3998" w:y="5265"/>
        <w:widowControl w:val="off"/>
        <w:autoSpaceDE w:val="off"/>
        <w:autoSpaceDN w:val="off"/>
        <w:spacing w:before="0" w:after="0" w:line="537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48"/>
          <w:szCs w:val="48"/>
        </w:rPr>
      </w:pPr>
      <w:r>
        <w:rPr>
          <w:rFonts w:ascii="Arial-BoldMT" w:hAnsi="Arial-BoldMT" w:fareast="Arial-BoldMT" w:cs="Arial-BoldMT"/>
          <w:color w:val="000000"/>
          <w:w w:val="100"/>
          <w:sz w:val="48"/>
          <w:szCs w:val="48"/>
        </w:rPr>
        <w:t>TECHNIPFMC PLC</w:t>
      </w:r>
    </w:p>
    <w:p>
      <w:pPr>
        <w:pStyle w:val="Normal"/>
        <w:framePr w:w="455" w:hAnchor="page" w:vAnchor="page" w:x="280" w:y="4478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4284" w:hAnchor="page" w:vAnchor="page" w:x="821" w:y="448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Soliciting Material under § 240.14a-12</w:t>
      </w:r>
    </w:p>
    <w:p>
      <w:pPr>
        <w:pStyle w:val="Normal"/>
        <w:framePr w:w="455" w:hAnchor="page" w:vAnchor="page" w:x="280" w:y="4253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☒</w:t>
      </w:r>
    </w:p>
    <w:p>
      <w:pPr>
        <w:pStyle w:val="Normal"/>
        <w:framePr w:w="3390" w:hAnchor="page" w:vAnchor="page" w:x="821" w:y="42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Definitive Additional Materials</w:t>
      </w:r>
    </w:p>
    <w:p>
      <w:pPr>
        <w:pStyle w:val="Normal"/>
        <w:framePr w:w="455" w:hAnchor="page" w:vAnchor="page" w:x="280" w:y="4028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3069" w:hAnchor="page" w:vAnchor="page" w:x="821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Definitive Proxy Statement</w:t>
      </w:r>
    </w:p>
    <w:p>
      <w:pPr>
        <w:pStyle w:val="Normal"/>
        <w:framePr w:w="455" w:hAnchor="page" w:vAnchor="page" w:x="280" w:y="3803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8727" w:hAnchor="page" w:vAnchor="page" w:x="821" w:y="38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Confidential, for Use of the Commission Only (as permitted by Rule 14a-6(e)(2))</w:t>
      </w:r>
    </w:p>
    <w:p>
      <w:pPr>
        <w:pStyle w:val="Normal"/>
        <w:framePr w:w="455" w:hAnchor="page" w:vAnchor="page" w:x="280" w:y="3577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3282" w:hAnchor="page" w:vAnchor="page" w:x="821" w:y="35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Preliminary Proxy Statement</w:t>
      </w:r>
    </w:p>
    <w:p>
      <w:pPr>
        <w:pStyle w:val="Normal"/>
        <w:framePr w:w="3123" w:hAnchor="page" w:vAnchor="page" w:x="280" w:y="33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Check the appropriate box:</w:t>
      </w:r>
    </w:p>
    <w:p>
      <w:pPr>
        <w:pStyle w:val="Normal"/>
        <w:framePr w:w="4900" w:hAnchor="page" w:vAnchor="page" w:x="280" w:y="3127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Filed by a Party other than the Registrant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2924" w:hAnchor="page" w:vAnchor="page" w:x="280" w:y="2902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Filed by the Registrant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☒</w:t>
      </w:r>
    </w:p>
    <w:p>
      <w:pPr>
        <w:pStyle w:val="Normal"/>
        <w:framePr w:w="6619" w:hAnchor="page" w:vAnchor="page" w:x="3462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Securities Exchange Act of 1934 (Amendment No.   )</w:t>
      </w:r>
    </w:p>
    <w:p>
      <w:pPr>
        <w:pStyle w:val="Normal"/>
        <w:framePr w:w="5071" w:hAnchor="page" w:vAnchor="page" w:x="4107" w:y="22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Proxy Statement Pursuant to Section 14(a) of</w:t>
      </w:r>
    </w:p>
    <w:p>
      <w:pPr>
        <w:pStyle w:val="Normal"/>
        <w:framePr w:w="3413" w:hAnchor="page" w:vAnchor="page" w:x="4748" w:y="1620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SCHEDULE 14A</w:t>
      </w:r>
    </w:p>
    <w:p>
      <w:pPr>
        <w:pStyle w:val="Normal"/>
        <w:framePr w:w="3249" w:hAnchor="page" w:vAnchor="page" w:x="4763" w:y="112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6847" w:hAnchor="page" w:vAnchor="page" w:x="3148" w:y="807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SECURITIES AND EXCHANGE COMMISSION</w:t>
      </w:r>
    </w:p>
    <w:p>
      <w:pPr>
        <w:pStyle w:val="Normal"/>
        <w:framePr w:w="2710" w:hAnchor="page" w:vAnchor="page" w:x="5028" w:y="477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pt;z-index:-16777208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pt;z-index:-1677720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17.5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387.55pt;z-index:-16777196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387.55pt;z-index:-167771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395.85pt;z-index:-16777188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407.85pt;z-index:-1677718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7pt;margin-top:1pt;z-index:-167771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717.85pt;z-index:-1677717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32.75pt;margin-top:2pt;z-index:-16777172;width:547.2pt;height:697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7pt;margin-top:1pt;z-index:-16777168;width:598pt;height:751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pt;margin-top:740.35pt;z-index:-1677716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31.25pt;margin-top:2pt;z-index:-16777160;width:550.2pt;height:713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e00ae22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jpe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jpeg" Type="http://schemas.openxmlformats.org/officeDocument/2006/relationships/image"/><Relationship Id="rId15" Target="styles.xml" Type="http://schemas.openxmlformats.org/officeDocument/2006/relationships/styles"/><Relationship Id="rId16" Target="fontTable.xml" Type="http://schemas.openxmlformats.org/officeDocument/2006/relationships/fontTable"/><Relationship Id="rId17" Target="settings.xml" Type="http://schemas.openxmlformats.org/officeDocument/2006/relationships/settings"/><Relationship Id="rId18" Target="webSettings.xml" Type="http://schemas.openxmlformats.org/officeDocument/2006/relationships/webSettings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media/image6.png" Type="http://schemas.openxmlformats.org/officeDocument/2006/relationships/image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136</Words>
  <Characters>723</Characters>
  <Application>e-iceblue</Application>
  <DocSecurity>0</DocSecurity>
  <Lines>31</Lines>
  <Paragraphs>31</Paragraphs>
  <ScaleCrop>false</ScaleCrop>
  <Company>e-iceblue</Company>
  <LinksUpToDate>false</LinksUpToDate>
  <CharactersWithSpaces>829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2025-03-14T21:45:59Z</dcterms:created>
  <dc:creator>root</dc:creator>
  <cp:lastModifiedBy>root</cp:lastModifiedBy>
  <dcterms:modified xsi:type="dcterms:W3CDTF">2025-03-14T21:45:59Z</dcterms:modified>
  <cp:revision>1</cp:revision>
</cp:coreProperties>
</file>