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60"/>
        <w:spacing w:after="0"/>
        <w:rPr>
          <w:sz w:val="20"/>
          <w:szCs w:val="20"/>
          <w:color w:val="auto"/>
        </w:rPr>
      </w:pPr>
      <w:r>
        <w:rPr>
          <w:rFonts w:ascii="Times New Roman" w:cs="Times New Roman" w:eastAsia="Times New Roman" w:hAnsi="Times New Roman"/>
          <w:sz w:val="18"/>
          <w:szCs w:val="18"/>
          <w:b w:val="1"/>
          <w:bCs w:val="1"/>
          <w:color w:val="auto"/>
        </w:rPr>
        <w:t>As filed with the United States Securities and Exchange Commission on February 27, 2017</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-680085</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57150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4"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52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43"/>
          <w:szCs w:val="43"/>
          <w:b w:val="1"/>
          <w:bCs w:val="1"/>
          <w:color w:val="auto"/>
        </w:rPr>
        <w:t>TechnipFMC plc</w:t>
      </w:r>
    </w:p>
    <w:p>
      <w:pPr>
        <w:spacing w:after="0" w:line="58"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9800"/>
          </w:cols>
          <w:pgMar w:left="1320" w:top="225" w:right="7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98-1283037</w:t>
      </w:r>
    </w:p>
    <w:p>
      <w:pPr>
        <w:spacing w:after="0" w:line="23" w:lineRule="exact"/>
        <w:rPr>
          <w:sz w:val="24"/>
          <w:szCs w:val="24"/>
          <w:color w:val="auto"/>
        </w:rPr>
      </w:pPr>
    </w:p>
    <w:p>
      <w:pPr>
        <w:sectPr>
          <w:pgSz w:w="11900" w:h="16838" w:orient="portrait"/>
          <w:cols w:equalWidth="0" w:num="3">
            <w:col w:w="3820" w:space="720"/>
            <w:col w:w="2720" w:space="720"/>
            <w:col w:w="1820"/>
          </w:cols>
          <w:pgMar w:left="1320" w:top="225" w:right="7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(Primary Standard Industrial</w:t>
      </w:r>
    </w:p>
    <w:p>
      <w:pPr>
        <w:ind w:left="20"/>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3080" w:space="720"/>
            <w:col w:w="3320" w:space="720"/>
            <w:col w:w="1960"/>
          </w:cols>
          <w:pgMar w:left="1320" w:top="225" w:right="779" w:bottom="1440" w:gutter="0" w:footer="0" w:header="0"/>
          <w:type w:val="continuous"/>
        </w:sectPr>
      </w:pPr>
    </w:p>
    <w:p>
      <w:pPr>
        <w:spacing w:after="0" w:line="2"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One St. Paul’s Churchyard</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London, EC4M 8AP</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4"/>
          <w:szCs w:val="14"/>
          <w:b w:val="1"/>
          <w:bCs w:val="1"/>
          <w:color w:val="auto"/>
        </w:rPr>
        <w:t>(Address, including zip code, of principal executive offices)</w:t>
      </w:r>
    </w:p>
    <w:p>
      <w:pPr>
        <w:sectPr>
          <w:pgSz w:w="11900" w:h="16838" w:orient="portrait"/>
          <w:cols w:equalWidth="0" w:num="1">
            <w:col w:w="9800"/>
          </w:cols>
          <w:pgMar w:left="1320" w:top="225" w:right="779" w:bottom="1440" w:gutter="0" w:footer="0" w:header="0"/>
          <w:type w:val="continuous"/>
        </w:sectPr>
      </w:pPr>
    </w:p>
    <w:p>
      <w:pPr>
        <w:spacing w:after="0" w:line="188" w:lineRule="exact"/>
        <w:rPr>
          <w:sz w:val="24"/>
          <w:szCs w:val="24"/>
          <w:color w:val="auto"/>
        </w:rPr>
      </w:pPr>
    </w:p>
    <w:p>
      <w:pPr>
        <w:jc w:val="center"/>
        <w:ind w:left="2020" w:right="2540"/>
        <w:spacing w:after="0" w:line="255" w:lineRule="auto"/>
        <w:rPr>
          <w:sz w:val="20"/>
          <w:szCs w:val="20"/>
          <w:color w:val="auto"/>
        </w:rPr>
      </w:pPr>
      <w:r>
        <w:rPr>
          <w:rFonts w:ascii="Times New Roman" w:cs="Times New Roman" w:eastAsia="Times New Roman" w:hAnsi="Times New Roman"/>
          <w:sz w:val="18"/>
          <w:szCs w:val="18"/>
          <w:b w:val="1"/>
          <w:bCs w:val="1"/>
          <w:color w:val="auto"/>
        </w:rPr>
        <w:t>FMC Technologies, Inc. Savings and Investment Plan FMC Puerto Rico Savings and Investment Plan FMC Technologies, Inc. International Savings and Investment Plan FMC Technologies, Inc. Non-Qualified Savings and Investment Plan</w:t>
      </w: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188"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Dianne B. Ralston, Esq.</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Executive Vice President, Chief Legal Officer and Secretary</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TechnipFMC plc</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11740 Katy Freeway</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Energy Tower 3</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Houston, Texas 77079</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Telephone: (281) 591-4000</w:t>
      </w:r>
    </w:p>
    <w:p>
      <w:pPr>
        <w:spacing w:after="0" w:line="2"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2183765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9800"/>
          </w:cols>
          <w:pgMar w:left="1320" w:top="225" w:right="7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Ryan Maierson, Esq.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811 Main Street, Suite 3700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(713) 546-7420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120" w:type="dxa"/>
            <w:vAlign w:val="bottom"/>
            <w:gridSpan w:val="2"/>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120" w:type="dxa"/>
            <w:vAlign w:val="bottom"/>
            <w:gridSpan w:val="2"/>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41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5"/>
        </w:trPr>
        <w:tc>
          <w:tcPr>
            <w:tcW w:w="1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CALCULATION OF REGISTRATION FEE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right w:val="single" w:sz="8" w:color="auto"/>
            </w:tcBorders>
          </w:tcPr>
          <w:p>
            <w:pPr>
              <w:jc w:val="center"/>
              <w:ind w:left="26"/>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600" w:type="dxa"/>
            <w:vAlign w:val="bottom"/>
            <w:tcBorders>
              <w:right w:val="single" w:sz="8" w:color="auto"/>
            </w:tcBorders>
          </w:tcPr>
          <w:p>
            <w:pPr>
              <w:jc w:val="center"/>
              <w:ind w:left="26"/>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600" w:type="dxa"/>
            <w:vAlign w:val="bottom"/>
            <w:tcBorders>
              <w:right w:val="single" w:sz="8" w:color="auto"/>
            </w:tcBorders>
          </w:tcPr>
          <w:p>
            <w:pPr>
              <w:jc w:val="center"/>
              <w:ind w:left="6"/>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40" w:type="dxa"/>
            <w:vAlign w:val="bottom"/>
            <w:tcBorders>
              <w:right w:val="single" w:sz="8" w:color="auto"/>
            </w:tcBorders>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Title of Each Class of Securities to be Registered</w:t>
            </w:r>
          </w:p>
        </w:tc>
        <w:tc>
          <w:tcPr>
            <w:tcW w:w="160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to be</w:t>
            </w:r>
          </w:p>
        </w:tc>
        <w:tc>
          <w:tcPr>
            <w:tcW w:w="1600" w:type="dxa"/>
            <w:vAlign w:val="bottom"/>
            <w:tcBorders>
              <w:right w:val="single" w:sz="8" w:color="auto"/>
            </w:tcBorders>
          </w:tcPr>
          <w:p>
            <w:pPr>
              <w:jc w:val="center"/>
              <w:ind w:left="6"/>
              <w:spacing w:after="0" w:line="160"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600" w:type="dxa"/>
            <w:vAlign w:val="bottom"/>
            <w:tcBorders>
              <w:right w:val="single" w:sz="8" w:color="auto"/>
            </w:tcBorders>
          </w:tcPr>
          <w:p>
            <w:pPr>
              <w:jc w:val="center"/>
              <w:ind w:left="6"/>
              <w:spacing w:after="0" w:line="160"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60" w:type="dxa"/>
            <w:vAlign w:val="bottom"/>
          </w:tcPr>
          <w:p>
            <w:pPr>
              <w:jc w:val="center"/>
              <w:ind w:left="22"/>
              <w:spacing w:after="0" w:line="160"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vMerge w:val="continue"/>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4"/>
                <w:szCs w:val="14"/>
                <w:b w:val="1"/>
                <w:bCs w:val="1"/>
                <w:color w:val="auto"/>
              </w:rPr>
              <w:t>Per Share(2)</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56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Ordinary Shares, nominal value $1 per share</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4,500,000 (1)</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Times New Roman" w:cs="Times New Roman" w:eastAsia="Times New Roman" w:hAnsi="Times New Roman"/>
                <w:sz w:val="18"/>
                <w:szCs w:val="18"/>
                <w:color w:val="auto"/>
              </w:rPr>
              <w:t>$32.18</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Times New Roman" w:cs="Times New Roman" w:eastAsia="Times New Roman" w:hAnsi="Times New Roman"/>
                <w:sz w:val="18"/>
                <w:szCs w:val="18"/>
                <w:color w:val="auto"/>
              </w:rPr>
              <w:t>$144,810,000.00</w:t>
            </w:r>
          </w:p>
        </w:tc>
        <w:tc>
          <w:tcPr>
            <w:tcW w:w="156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8"/>
                <w:szCs w:val="18"/>
                <w:color w:val="auto"/>
                <w:w w:val="98"/>
              </w:rPr>
              <w:t>$16,783.48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460" w:right="180" w:hanging="452"/>
        <w:spacing w:after="0" w:line="254"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Issuable under the FMC Technologies, Inc. Savings and Investment Plan, the FMC Puerto Rico Savings and Investment Plan, the FMC Technologies, Inc. International Savings and Investment Plan and the FMC Technologies, Inc. Non-Qualified Savings and Investment Plan. In addition, pursuant to Rule 416(c)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this Registration Statement also covers an indeterminate amount of interests to be offered or sold pursuant to the employee benefit plan described herein.</w:t>
      </w:r>
    </w:p>
    <w:p>
      <w:pPr>
        <w:spacing w:after="0" w:line="1" w:lineRule="exact"/>
        <w:rPr>
          <w:rFonts w:ascii="Times New Roman" w:cs="Times New Roman" w:eastAsia="Times New Roman" w:hAnsi="Times New Roman"/>
          <w:sz w:val="18"/>
          <w:szCs w:val="18"/>
          <w:color w:val="auto"/>
        </w:rPr>
      </w:pPr>
    </w:p>
    <w:p>
      <w:pPr>
        <w:ind w:left="460" w:right="20" w:hanging="452"/>
        <w:spacing w:after="0" w:line="255"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and (h)(1) of the Securities Act. The proposed maximum offering price per share is based on the average of the high and low prices of the ordinary shares of TechnipFMC plc as reported on the New York Stock Exchange on February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On January 16, 2017, pursuant to the Business Combination Agreement, dated as of June 14, 2016 (as amended,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providing for a business combination among FMC Technologies, Inc., a Delaware corporation (“</w:t>
      </w:r>
      <w:r>
        <w:rPr>
          <w:rFonts w:ascii="Times New Roman" w:cs="Times New Roman" w:eastAsia="Times New Roman" w:hAnsi="Times New Roman"/>
          <w:sz w:val="18"/>
          <w:szCs w:val="18"/>
          <w:u w:val="single" w:color="auto"/>
          <w:color w:val="auto"/>
        </w:rPr>
        <w:t>FMCTI</w:t>
      </w:r>
      <w:r>
        <w:rPr>
          <w:rFonts w:ascii="Times New Roman" w:cs="Times New Roman" w:eastAsia="Times New Roman" w:hAnsi="Times New Roman"/>
          <w:sz w:val="18"/>
          <w:szCs w:val="18"/>
          <w:color w:val="auto"/>
        </w:rPr>
        <w:t xml:space="preserve">”), Technip S.A., a French </w:t>
      </w:r>
      <w:r>
        <w:rPr>
          <w:rFonts w:ascii="Times New Roman" w:cs="Times New Roman" w:eastAsia="Times New Roman" w:hAnsi="Times New Roman"/>
          <w:sz w:val="18"/>
          <w:szCs w:val="18"/>
          <w:i w:val="1"/>
          <w:iCs w:val="1"/>
          <w:color w:val="auto"/>
        </w:rPr>
        <w:t>société</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anonyme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Technip</w:t>
      </w:r>
      <w:r>
        <w:rPr>
          <w:rFonts w:ascii="Times New Roman" w:cs="Times New Roman" w:eastAsia="Times New Roman" w:hAnsi="Times New Roman"/>
          <w:sz w:val="18"/>
          <w:szCs w:val="18"/>
          <w:color w:val="auto"/>
        </w:rPr>
        <w:t>”), and TechnipFMC plc, a public limited company incorporated under the laws of England and Wales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(i) Technip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merged with and into the Registrant (the “</w:t>
      </w:r>
      <w:r>
        <w:rPr>
          <w:rFonts w:ascii="Times New Roman" w:cs="Times New Roman" w:eastAsia="Times New Roman" w:hAnsi="Times New Roman"/>
          <w:sz w:val="18"/>
          <w:szCs w:val="18"/>
          <w:u w:val="single" w:color="auto"/>
          <w:color w:val="auto"/>
        </w:rPr>
        <w:t>Technip Merger</w:t>
      </w:r>
      <w:r>
        <w:rPr>
          <w:rFonts w:ascii="Times New Roman" w:cs="Times New Roman" w:eastAsia="Times New Roman" w:hAnsi="Times New Roman"/>
          <w:sz w:val="18"/>
          <w:szCs w:val="18"/>
          <w:color w:val="auto"/>
        </w:rPr>
        <w:t>”), with the Registrant surviving the Technip Merger, and immediately thereafter, (ii) a wholly owned indirect subsidiary of the Registrant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merged with and into FMCTI (the “</w:t>
      </w:r>
      <w:r>
        <w:rPr>
          <w:rFonts w:ascii="Times New Roman" w:cs="Times New Roman" w:eastAsia="Times New Roman" w:hAnsi="Times New Roman"/>
          <w:sz w:val="18"/>
          <w:szCs w:val="18"/>
          <w:u w:val="single" w:color="auto"/>
          <w:color w:val="auto"/>
        </w:rPr>
        <w:t>FMCTI Merger</w:t>
      </w:r>
      <w:r>
        <w:rPr>
          <w:rFonts w:ascii="Times New Roman" w:cs="Times New Roman" w:eastAsia="Times New Roman" w:hAnsi="Times New Roman"/>
          <w:sz w:val="18"/>
          <w:szCs w:val="18"/>
          <w:color w:val="auto"/>
        </w:rPr>
        <w:t>” and, together with the Technip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FMCTI surviving the FMCTI Merger as a wholly owned subsidiary of the Registrant.</w:t>
      </w:r>
    </w:p>
    <w:p>
      <w:pPr>
        <w:spacing w:after="0" w:line="188"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The FMC Technologies, Inc. Savings and Investment Plan, FMC Puerto Rico Savings and Investment Plan, FMC Technologies, Inc. International Savings and Investment Plan and FMC Technologies, Inc. Non-Qualified Savings and Investment Plan (collectively, the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became employee benefit plans sponsored and maintained by a subsidiary of the Registrant as a result of the FMCTI Merger.</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3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Plan Information.</w:t>
      </w:r>
    </w:p>
    <w:p>
      <w:pPr>
        <w:spacing w:after="0" w:line="22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documents containing the information specified in Item 1 will be sent or given to participants in the Plans as specified by Rule 428(b)(1) of the U.S.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Such documents are not required to be and are not filed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either as part of this Registration Statement on Form S-8 (this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or as prospectuses or prospectus supplements pursuant to Rule 424. These documents and the documents incorporated by reference in this Registration Statement pursuant to Item 3 of Part II of this Form S-8, taken together, constitute a prospectus that meets the requirements of Section 10(a) of the Securities Act.</w:t>
      </w:r>
    </w:p>
    <w:p>
      <w:pPr>
        <w:spacing w:after="0" w:line="20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Registrant Information and Employee Plan Annual Information.</w:t>
      </w:r>
    </w:p>
    <w:p>
      <w:pPr>
        <w:spacing w:after="0" w:line="229"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Upon written or oral request, any of the documents incorporated by reference in Item 3 of Part II of this Registration Statement (which documents are incorporated by reference in a Section 10(a) Prospectus), other documents required to be delivered to eligible employees, non-employee directors and consultants, pursuant to Rule 428(b) or additional information about the Plans are available without charge by contacting: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TechnipFMC plc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Attn: Dianne B. Ralston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11740 Katy Freeway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Energy Tower 3</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Houston, Texas 77079</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United States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3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ind w:right="700" w:firstLine="456"/>
        <w:spacing w:after="0" w:line="282" w:lineRule="auto"/>
        <w:rPr>
          <w:sz w:val="20"/>
          <w:szCs w:val="20"/>
          <w:color w:val="auto"/>
        </w:rPr>
      </w:pPr>
      <w:r>
        <w:rPr>
          <w:rFonts w:ascii="Times New Roman" w:cs="Times New Roman" w:eastAsia="Times New Roman" w:hAnsi="Times New Roman"/>
          <w:sz w:val="18"/>
          <w:szCs w:val="18"/>
          <w:color w:val="auto"/>
        </w:rPr>
        <w:t>The following documents, which have been filed with the Commission pursuant to the U.S.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are incorporated by reference in, and shall be deemed to be a part of, this Registration Statement:</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 the Registrant’s final prospectus filed with the Commission pursuant to Rule 424(b) under the Securities Act on October 25, 2016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except for the sections entitled “Opinion of Evercore as Financial Advisor to FMCTI” and “Opinions of Rothschild and Goldman Sachs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Financial Advisors to Technip”;</w:t>
      </w:r>
    </w:p>
    <w:p>
      <w:pPr>
        <w:spacing w:after="0" w:line="207" w:lineRule="exact"/>
        <w:rPr>
          <w:sz w:val="20"/>
          <w:szCs w:val="20"/>
          <w:color w:val="auto"/>
        </w:rPr>
      </w:pPr>
    </w:p>
    <w:p>
      <w:pPr>
        <w:ind w:left="460" w:right="120" w:firstLine="443"/>
        <w:spacing w:after="0" w:line="282" w:lineRule="auto"/>
        <w:tabs>
          <w:tab w:leader="none" w:pos="115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Current Reports on Form 8-K filed with the Commission on December 14, 2016, December 21, 2016, January 17, 2017, and February 24, 2017;</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66" w:right="239" w:bottom="1440" w:gutter="0" w:footer="0" w:header="0"/>
        </w:sectPr>
      </w:pPr>
    </w:p>
    <w:bookmarkStart w:id="4" w:name="page5"/>
    <w:bookmarkEnd w:id="4"/>
    <w:p>
      <w:pPr>
        <w:ind w:left="1140" w:hanging="237"/>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Registrant’s Annual Report on Form 10-K for the fiscal year ended December 31, 2016, filed with the Commission on January 13, 2017;</w:t>
      </w:r>
    </w:p>
    <w:p>
      <w:pPr>
        <w:spacing w:after="0" w:line="225" w:lineRule="exact"/>
        <w:rPr>
          <w:rFonts w:ascii="Times New Roman" w:cs="Times New Roman" w:eastAsia="Times New Roman" w:hAnsi="Times New Roman"/>
          <w:sz w:val="18"/>
          <w:szCs w:val="18"/>
          <w:color w:val="auto"/>
        </w:rPr>
      </w:pPr>
    </w:p>
    <w:p>
      <w:pPr>
        <w:ind w:left="460" w:right="80" w:firstLine="443"/>
        <w:spacing w:after="0" w:line="282" w:lineRule="auto"/>
        <w:tabs>
          <w:tab w:leader="none" w:pos="115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by the Registrant pursuant to Section 13(a) or 15(d) of the Exchange Act since the end of the fiscal year covered by the annual report referred to in (c) above; and</w:t>
      </w:r>
    </w:p>
    <w:p>
      <w:pPr>
        <w:spacing w:after="0" w:line="161" w:lineRule="exact"/>
        <w:rPr>
          <w:rFonts w:ascii="Times New Roman" w:cs="Times New Roman" w:eastAsia="Times New Roman" w:hAnsi="Times New Roman"/>
          <w:sz w:val="18"/>
          <w:szCs w:val="18"/>
          <w:color w:val="auto"/>
        </w:rPr>
      </w:pPr>
    </w:p>
    <w:p>
      <w:pPr>
        <w:ind w:left="460" w:right="40" w:firstLine="443"/>
        <w:spacing w:after="0" w:line="282"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ordinary shares of the Registrant, nominal value $1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contained in the Prospectus under the heading “Description of Topco Shares.”</w:t>
      </w:r>
    </w:p>
    <w:p>
      <w:pPr>
        <w:spacing w:after="0" w:line="16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All reports and other documents filed by the Registrant with the Commission pursuant to Sections 13(a), 13(c), 14 and 15(d) of the Exchange Act since October 25, 2016 and prior to the filing of a post-effective amendment which indicates that all securities offered pursuant to this Registration Statement have been sold or which deregisters all securities then remaining unsold, shall be deemed to be incorporated by reference herein and to be a part hereof from the date of filing of such documents or reports, except as to any portion of any future annual or quarterly report to stockholders or document or current report furnished under Items 2.02 or 7.01 of Form 8-K that is not deemed filed under such provisions.</w:t>
      </w:r>
    </w:p>
    <w:p>
      <w:pPr>
        <w:spacing w:after="0" w:line="18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For purposes of this Registration Statement, any document or any statement contained in a document incorporated or deemed to be incorporated herein by reference shall be deemed to be modified or superseded to the extent that a subsequently filed document or a statement contained therein, or in any other subsequently filed document which also is or is deemed to be incorporated by reference, modifies or supersedes such document or such statement in such document. Any statement so modified or superseded shall not be deemed, except as so modified or superseded, to constitute a part of this Registration Statement.</w:t>
      </w:r>
    </w:p>
    <w:p>
      <w:pPr>
        <w:spacing w:after="0" w:line="20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Registrant is currently a public limited company incorporated in England and Wales or under English law. Chapter 7 of Part 10 of the U.K.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Act 2006 contains provisions relating to directors’ liability. All statutory references in this Item 20 are to the U.K. Companies Act 2006.</w:t>
      </w:r>
    </w:p>
    <w:p>
      <w:pPr>
        <w:spacing w:after="0" w:line="207"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Section 232(1) makes void any provision that purports to exempt a director of a company from any liability that would otherwise attach to him in connection with any negligence, default, breach of duty or breach of trust in relation to the company.</w:t>
      </w:r>
    </w:p>
    <w:p>
      <w:pPr>
        <w:spacing w:after="0" w:line="162" w:lineRule="exact"/>
        <w:rPr>
          <w:sz w:val="20"/>
          <w:szCs w:val="20"/>
          <w:color w:val="auto"/>
        </w:rPr>
      </w:pPr>
    </w:p>
    <w:p>
      <w:pPr>
        <w:ind w:firstLine="456"/>
        <w:spacing w:after="0" w:line="313" w:lineRule="auto"/>
        <w:rPr>
          <w:sz w:val="20"/>
          <w:szCs w:val="20"/>
          <w:color w:val="auto"/>
        </w:rPr>
      </w:pPr>
      <w:r>
        <w:rPr>
          <w:rFonts w:ascii="Times New Roman" w:cs="Times New Roman" w:eastAsia="Times New Roman" w:hAnsi="Times New Roman"/>
          <w:sz w:val="17"/>
          <w:szCs w:val="17"/>
          <w:color w:val="auto"/>
        </w:rPr>
        <w:t>Section 232(2) makes void any provision by which a company directly or indirectly provides an indemnity for a director of the company against any liability attaching to him or her in connection with any negligence, default, breach of duty or breach of trust in relation to the company, except if permitted as:</w:t>
      </w:r>
    </w:p>
    <w:p>
      <w:pPr>
        <w:spacing w:after="0" w:line="165" w:lineRule="exact"/>
        <w:rPr>
          <w:sz w:val="20"/>
          <w:szCs w:val="20"/>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insurance within Section 233;</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third-party indemnity provisions falling within Section 234; or</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pension scheme indemnity provision under Section 235.</w:t>
      </w:r>
    </w:p>
    <w:p>
      <w:pPr>
        <w:spacing w:after="0" w:line="225"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Section 233 permits liability insurance, commonly known as directors’ and officers’ liability insurance, purchased and maintained by a company against liability for negligence, default, breach of duty or breach of trust in relation to the company.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270" w:right="279" w:bottom="1440" w:gutter="0" w:footer="0" w:header="0"/>
        </w:sectPr>
      </w:pPr>
    </w:p>
    <w:bookmarkStart w:id="5" w:name="page6"/>
    <w:bookmarkEnd w:id="5"/>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234 allows the Registrant to provide an indemnity against liability incurred by a director to someone other than the Registrant or an associated company of the Registrant. Such an indemnity does not permit indemnification against liability to pay criminal fines or civil penalties to a regulatory authority or the costs of an unsuccessful defense of criminal or civil proceedings or application for relief under Sections 661 (power of court to grant relief in case of acquisition of shares by innocent nominee) or 1157 (general power of court to grant relief in case of honest and reasonable conduct) of the U.K. Companies Act 2006.</w:t>
      </w:r>
    </w:p>
    <w:p>
      <w:pPr>
        <w:spacing w:after="0" w:line="184"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Section 235 allows the Registrant to provide indemnification to a director that is a trustee of an occupational pension scheme if joint liability incurred in connection with the company’s activities as trustee of the scheme. Such provision does not permit indemnification against liability to pay criminal fines or civil penalties to a regulatory authority or the costs of an unsuccessful defense of criminal proceedings.</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Any indemnity provided under Section 234 or Section 235 must be disclosed in the company’s annual report in accordance with Section 236 and copies of such indemnification provisions made available for inspection in accordance with Section 237 (and every member has a right to inspect and request such copies under Section 238).</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Conduct of a director amounting to negligence, default, breach of duty or breach of trust in relation to the company can be ratified, in accordance with Section 239, by a resolution of the members of the company, disregarding the votes of the director (if a member) and any connected member.</w:t>
      </w:r>
    </w:p>
    <w:p>
      <w:pPr>
        <w:spacing w:after="0" w:line="16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articles of association of the Registrant provide that, subject to the U.K. Companies Act 2006, the Registrant may indemnify (i) any person who is or was a director of the Registrant or any associated company against any loss, cost, charge or liability incurred by him as a director in the actual or purported execution and/or discharge of his duties or in relation to them whether in connection with any negligence, default, breach of duty or breach of trust by him or otherwise; and (ii) any person who is or was a director of an associated company that is a trustee of an occupational pension scheme, against any loss, cost, charge or liability incurred by him as a director in connection with the company’s activities as trustee of an occupational pension scheme.</w:t>
      </w:r>
    </w:p>
    <w:p>
      <w:pPr>
        <w:spacing w:after="0" w:line="18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articles of association of the Registrant also provide that, subject to the U.K. Companies Act 2006, the Registrant may purchase and maintain insurance for or for the benefit of any person who is or was a director, officer or employee of the Registrant, or any corporate entity which is or was the holding company or subsidiary undertaking of the Registrant, or in which the Registrant or such holding company or subsidiary undertaking has or had any interest or with which the Registrant or such holding company or subsidiary undertaking is or was in any way allied or associated. This includes, without limitation, insurance against any loss or liability or any expenditure such director, officer or employee may incur, whether in connection with any proven or alleged act or omission in the actual or purported execution or discharge of his or her duties or in the exercise or purported exercise of his or her powers or otherwise in relation to his or her duties, powers or offices, whether comprising negligence, default, breach of duty, breach of trust or otherwise, in relation to the Registrant or the relevant body.</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Business Combination Agreement provides that, to the extent permitted by applicable law, for a period of six years from and after completion of the Mergers, the Registrant will indemnify and hold harmless and provide advancement of expenses to each past and present (as of completion of the Mergers) director, officer, and employee of FMCTI, Technip or any of their subsidiaries against all costs or expenses (including reasonable attorney’s fees and disbursements), judgments, inquiries, fines, losses, claims, damages or liabilities incurred by such individual in connection with any civil, criminal, administrative or investigative proceeding arising out of or pertaining to any act or omission of such director, officer or employee (i) in each case, to the same extent as such person is indemnified or has the right to advancement of expenses as of May 18, 2016 by FMCTI, Technip or their subsidiaries, as applicable, pursuant to the organizational documents and indemnification agreements thereof and (ii) with respect to directors and officers, to the fullest extent permitted by applicable law, in each case for acts or omissions occurring at or prior to the completion of the Mergers.</w:t>
      </w:r>
    </w:p>
    <w:p>
      <w:pPr>
        <w:spacing w:after="0" w:line="185"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Business Combination Agreement further provides that, for a period of not less than six years after completion of the Mergers, the organizational documents of the Registrant (and any successor thereto) will contain provisions providing for the elimination of liability of directors, indemnification of officers and directors and advancement of expenses to the fullest extent permitted by applicable law. Additionally, for the benefit of Technip’s and FMCTI’s directors and officers, the Registrant will cause to be maintained for a period of six years after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0" w:right="259" w:bottom="1440" w:gutter="0" w:footer="0" w:header="0"/>
        </w:sectPr>
      </w:pPr>
    </w:p>
    <w:bookmarkStart w:id="6" w:name="page7"/>
    <w:bookmarkEnd w:id="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completion of the Mergers the current policies of directors’ and officers’ liability insurance and fiduciary liability insurance maintained by Technip and FMCTI (provided that the Registrant (or its successor) may substitute another policy with at least the same coverage and amounts containing terms and conditions which are, in the aggregate, no less advantageous to the insured) with respect to claims arising from facts or events that occurred on or before completion of the Mergers; provided, however, that the Registrant is not required to spend more than 200% of the annual premiums currently paid by Technip or FMCTI, as applicable, for such insurance annually. Alternatively, the Registrant may purchase a six year “tail” prepaid policy; provided that the aggregate amount paid by the Registrant will not exceed 1200% of the annual premiums paid by Technip or FMCTI as of the date of the Business Combination Agreement, as applicable, for their current policies of directors’ and officers’ liability insurance and fiduciary liability insurance annually.</w:t>
      </w:r>
    </w:p>
    <w:p>
      <w:pPr>
        <w:spacing w:after="0" w:line="2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A list of exhibits included as part of this Registration Statement is set forth in the Index to Exhibits appearing elsewhere herein and is incorporated herein by reference.</w:t>
      </w:r>
    </w:p>
    <w:p>
      <w:pPr>
        <w:spacing w:after="0" w:line="18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229" w:lineRule="exact"/>
        <w:rPr>
          <w:sz w:val="20"/>
          <w:szCs w:val="20"/>
          <w:color w:val="auto"/>
        </w:rPr>
      </w:pPr>
    </w:p>
    <w:p>
      <w:pPr>
        <w:ind w:left="700" w:hanging="236"/>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920" w:right="40" w:firstLine="421"/>
        <w:spacing w:after="0" w:line="255" w:lineRule="auto"/>
        <w:tabs>
          <w:tab w:leader="none" w:pos="1605"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89" w:lineRule="exact"/>
        <w:rPr>
          <w:rFonts w:ascii="Times New Roman" w:cs="Times New Roman" w:eastAsia="Times New Roman" w:hAnsi="Times New Roman"/>
          <w:sz w:val="18"/>
          <w:szCs w:val="18"/>
          <w:color w:val="auto"/>
        </w:rPr>
      </w:pPr>
    </w:p>
    <w:p>
      <w:pPr>
        <w:ind w:left="920" w:right="160" w:firstLine="421"/>
        <w:spacing w:after="0" w:line="282" w:lineRule="auto"/>
        <w:tabs>
          <w:tab w:leader="none" w:pos="1655"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0" w:lineRule="exact"/>
        <w:rPr>
          <w:sz w:val="20"/>
          <w:szCs w:val="20"/>
          <w:color w:val="auto"/>
        </w:rPr>
      </w:pPr>
    </w:p>
    <w:p>
      <w:pPr>
        <w:ind w:right="16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shall not apply if the information required to be included on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periodic reports filed by or furnished to the Commission by the Registrant pursuant to Section 13 or Section 15(d) of the Exchange Act that are incorporated by reference in this Registration Statement.</w:t>
      </w:r>
    </w:p>
    <w:p>
      <w:pPr>
        <w:spacing w:after="0" w:line="176" w:lineRule="exact"/>
        <w:rPr>
          <w:sz w:val="20"/>
          <w:szCs w:val="20"/>
          <w:color w:val="auto"/>
        </w:rPr>
      </w:pPr>
    </w:p>
    <w:p>
      <w:pPr>
        <w:ind w:left="460" w:right="40" w:firstLine="443"/>
        <w:spacing w:after="0" w:line="266" w:lineRule="auto"/>
        <w:tabs>
          <w:tab w:leader="none" w:pos="115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270" w:right="279" w:bottom="1440" w:gutter="0" w:footer="0" w:header="0"/>
        </w:sectPr>
      </w:pPr>
    </w:p>
    <w:bookmarkStart w:id="7" w:name="page8"/>
    <w:bookmarkEnd w:id="7"/>
    <w:p>
      <w:pPr>
        <w:ind w:left="460" w:right="580" w:firstLine="443"/>
        <w:spacing w:after="0" w:line="282" w:lineRule="auto"/>
        <w:tabs>
          <w:tab w:leader="none" w:pos="115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right="40" w:firstLine="464"/>
        <w:spacing w:after="0" w:line="261" w:lineRule="auto"/>
        <w:tabs>
          <w:tab w:leader="none" w:pos="71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that is incorporated by reference in this Registration Statement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80" w:lineRule="exact"/>
        <w:rPr>
          <w:rFonts w:ascii="Times New Roman" w:cs="Times New Roman" w:eastAsia="Times New Roman" w:hAnsi="Times New Roman"/>
          <w:sz w:val="18"/>
          <w:szCs w:val="18"/>
          <w:color w:val="auto"/>
        </w:rPr>
      </w:pPr>
    </w:p>
    <w:p>
      <w:pPr>
        <w:ind w:firstLine="464"/>
        <w:spacing w:after="0" w:line="255" w:lineRule="auto"/>
        <w:tabs>
          <w:tab w:leader="none" w:pos="70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0" w:right="239" w:bottom="1440" w:gutter="0" w:footer="0" w:header="0"/>
        </w:sectPr>
      </w:pPr>
    </w:p>
    <w:bookmarkStart w:id="8" w:name="page9"/>
    <w:bookmarkEnd w:id="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Houston, Texas on this 27th day of February, 2017.</w:t>
      </w:r>
    </w:p>
    <w:p>
      <w:pPr>
        <w:spacing w:after="0" w:line="19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TechnipFMC plc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Dianne B. Ralston (attorney-in-fact)</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Director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Maryann T. Mannen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p>
      <w:pPr>
        <w:spacing w:after="0" w:line="21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Dianne B. Ralston (attorney-in-fact)</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Thierry Pilenko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Director and Executive Chairman</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Dianne B. Ralston (attorney-in-fact)</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Arnaud Caudoux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Dianne B. Ralston (attorney-in-fact)</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Pascal Colombani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Dianne B. Ralston (attorney-in-fact)</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Marie-Ange Debon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Dianne B. Ralston (attorney-in-fact)</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Eleazar de Carvalho Filho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Dianne B. Ralston (attorney-in-fact)</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Claire S.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Dianne B. Ralston (attorney-in-fact)</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Didier Houssin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Dianne B. Ralston (attorney-in-fact)</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Peter Mellbye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Dianne B. Ralston (attorney-in-fact)</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John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Dianne B. Ralston (attorney-in-fact)</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Richard A. Pattarozzi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Dianne B. Ralston (attorney-in-fact)</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Kay G. Priestly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Dianne B. Ralston (attorney-in-fact)</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Joseph Rinaldi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Dianne B. Ralston (attorney-in-fact)</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James M. Ringler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Title:Director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Dianne B. Ralston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Authorized Representative in the United States</w:t>
      </w:r>
    </w:p>
    <w:p>
      <w:pPr>
        <w:sectPr>
          <w:pgSz w:w="11900" w:h="16838" w:orient="portrait"/>
          <w:cols w:equalWidth="0" w:num="1">
            <w:col w:w="11340"/>
          </w:cols>
          <w:pgMar w:left="240" w:top="266" w:right="31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367"/>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40" w:type="dxa"/>
            <w:vAlign w:val="bottom"/>
            <w:vMerge w:val="restart"/>
          </w:tcPr>
          <w:p>
            <w:pPr>
              <w:ind w:left="44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80"/>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660" w:type="dxa"/>
            <w:vAlign w:val="bottom"/>
          </w:tcPr>
          <w:p>
            <w:pPr>
              <w:spacing w:after="0"/>
              <w:rPr>
                <w:sz w:val="24"/>
                <w:szCs w:val="24"/>
                <w:color w:val="auto"/>
              </w:rPr>
            </w:pPr>
          </w:p>
        </w:tc>
        <w:tc>
          <w:tcPr>
            <w:tcW w:w="10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Articles of Association of TechnipFMC plc (attached as Exhibit 3.1 to TechnipFMC plc’s Form 8-K filed on January 17, 2017 (File No. 333-</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213067))</w:t>
            </w: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FMC Technologies, Inc. Savings and Investment Plan, dated January 28, 2013 (incorporated by reference from</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Exhibit 10.20 to the Annual Report on Form 10-K of FMC Technologies, Inc. filed on February 22, 2013 (File No. 001-16489))</w:t>
            </w:r>
          </w:p>
        </w:tc>
        <w:tc>
          <w:tcPr>
            <w:tcW w:w="0" w:type="dxa"/>
            <w:vAlign w:val="bottom"/>
          </w:tcPr>
          <w:p>
            <w:pPr>
              <w:spacing w:after="0"/>
              <w:rPr>
                <w:sz w:val="1"/>
                <w:szCs w:val="1"/>
                <w:color w:val="auto"/>
              </w:rPr>
            </w:pPr>
          </w:p>
        </w:tc>
      </w:tr>
      <w:tr>
        <w:trPr>
          <w:trHeight w:val="306"/>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4.1(a)*</w:t>
            </w: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to the Amended and Restated FMC Technologies, Inc. Savings and Investment Plan, dated October 3, 2013 (incorporated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by reference from Exhibit 10.20.a to the Annual Report on Form 10-K of FMC Technologies, Inc. filed on February 21, 2014 (File No. 001-</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16489))</w:t>
            </w:r>
          </w:p>
        </w:tc>
        <w:tc>
          <w:tcPr>
            <w:tcW w:w="0" w:type="dxa"/>
            <w:vAlign w:val="bottom"/>
          </w:tcPr>
          <w:p>
            <w:pPr>
              <w:spacing w:after="0"/>
              <w:rPr>
                <w:sz w:val="1"/>
                <w:szCs w:val="1"/>
                <w:color w:val="auto"/>
              </w:rPr>
            </w:pPr>
          </w:p>
        </w:tc>
      </w:tr>
      <w:tr>
        <w:trPr>
          <w:trHeight w:val="306"/>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4.1(b)*</w:t>
            </w: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Second Amendment to the Amended and Restated FMC Technologies, Inc. Savings and Investment Plan, dated February 7, 2014</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from Exhibit 10.20.b to the Annual Report on Form 10-K of FMC Technologies, Inc. filed on February 21, 2014</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(File No. 001-16489))</w:t>
            </w:r>
          </w:p>
        </w:tc>
        <w:tc>
          <w:tcPr>
            <w:tcW w:w="0" w:type="dxa"/>
            <w:vAlign w:val="bottom"/>
          </w:tcPr>
          <w:p>
            <w:pPr>
              <w:spacing w:after="0"/>
              <w:rPr>
                <w:sz w:val="1"/>
                <w:szCs w:val="1"/>
                <w:color w:val="auto"/>
              </w:rPr>
            </w:pPr>
          </w:p>
        </w:tc>
      </w:tr>
      <w:tr>
        <w:trPr>
          <w:trHeight w:val="306"/>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4.1(c)*</w:t>
            </w: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Third Amendment to the Amended and Restated FMC Technologies, Inc. Savings and Investment Plan, dated April 30, 2014 (incorporated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by reference from Exhibit 10.20.c to the Annual Report on Form 10-K of FMC Technologies, Inc. filed on February 24, 2016 (File No. 001-</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16489))</w:t>
            </w:r>
          </w:p>
        </w:tc>
        <w:tc>
          <w:tcPr>
            <w:tcW w:w="0" w:type="dxa"/>
            <w:vAlign w:val="bottom"/>
          </w:tcPr>
          <w:p>
            <w:pPr>
              <w:spacing w:after="0"/>
              <w:rPr>
                <w:sz w:val="1"/>
                <w:szCs w:val="1"/>
                <w:color w:val="auto"/>
              </w:rPr>
            </w:pPr>
          </w:p>
        </w:tc>
      </w:tr>
      <w:tr>
        <w:trPr>
          <w:trHeight w:val="306"/>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4.1(d)*</w:t>
            </w: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Fourth Amendment to the Amended and Restated FMC Technologies, Inc. Savings and Investment Plan, dated December 18, 2015</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from Exhibit 10.20.d to the Annual Report on Form 10-K of FMC Technologies, Inc. filed on February 24, 2016</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(File No. 001-16489))</w:t>
            </w:r>
          </w:p>
        </w:tc>
        <w:tc>
          <w:tcPr>
            <w:tcW w:w="0" w:type="dxa"/>
            <w:vAlign w:val="bottom"/>
          </w:tcPr>
          <w:p>
            <w:pPr>
              <w:spacing w:after="0"/>
              <w:rPr>
                <w:sz w:val="1"/>
                <w:szCs w:val="1"/>
                <w:color w:val="auto"/>
              </w:rPr>
            </w:pPr>
          </w:p>
        </w:tc>
      </w:tr>
      <w:tr>
        <w:trPr>
          <w:trHeight w:val="32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4.1(e)</w:t>
            </w: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Fifth Amendment to the Amended and Restated FMC Technologies, Inc. Savings and Investment Plan, dated December 22, 2016</w:t>
            </w:r>
          </w:p>
        </w:tc>
        <w:tc>
          <w:tcPr>
            <w:tcW w:w="0" w:type="dxa"/>
            <w:vAlign w:val="bottom"/>
          </w:tcPr>
          <w:p>
            <w:pPr>
              <w:spacing w:after="0"/>
              <w:rPr>
                <w:sz w:val="1"/>
                <w:szCs w:val="1"/>
                <w:color w:val="auto"/>
              </w:rPr>
            </w:pPr>
          </w:p>
        </w:tc>
      </w:tr>
      <w:tr>
        <w:trPr>
          <w:trHeight w:val="32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4.1(f)</w:t>
            </w: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Sixth Amendment to the Amended and Restated FMC Technologies, Inc. Savings and Investment Plan, dated January 13, 2017</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FMC Puerto Rico Savings and Investment Plan, dated as of January 1, 2000</w:t>
            </w:r>
          </w:p>
        </w:tc>
        <w:tc>
          <w:tcPr>
            <w:tcW w:w="0" w:type="dxa"/>
            <w:vAlign w:val="bottom"/>
          </w:tcPr>
          <w:p>
            <w:pPr>
              <w:spacing w:after="0"/>
              <w:rPr>
                <w:sz w:val="1"/>
                <w:szCs w:val="1"/>
                <w:color w:val="auto"/>
              </w:rPr>
            </w:pPr>
          </w:p>
        </w:tc>
      </w:tr>
      <w:tr>
        <w:trPr>
          <w:trHeight w:val="32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4.2(a)</w:t>
            </w: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Second Amendment of FMC Puerto Rico Savings and Investment Plan, dated as of December 20, 2010</w:t>
            </w:r>
          </w:p>
        </w:tc>
        <w:tc>
          <w:tcPr>
            <w:tcW w:w="0" w:type="dxa"/>
            <w:vAlign w:val="bottom"/>
          </w:tcPr>
          <w:p>
            <w:pPr>
              <w:spacing w:after="0"/>
              <w:rPr>
                <w:sz w:val="1"/>
                <w:szCs w:val="1"/>
                <w:color w:val="auto"/>
              </w:rPr>
            </w:pPr>
          </w:p>
        </w:tc>
      </w:tr>
      <w:tr>
        <w:trPr>
          <w:trHeight w:val="30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FMC Technologies, Inc. Non-Qualified Savings and Investment Plan, dated July 31, 2008 (incorporated by reference</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from Exhibit 10.9 to the Annual Report on Form 10-K of FMC Technologies, Inc. filed on March 1, 2010 (File No. 001-16489))</w:t>
            </w:r>
          </w:p>
        </w:tc>
        <w:tc>
          <w:tcPr>
            <w:tcW w:w="0" w:type="dxa"/>
            <w:vAlign w:val="bottom"/>
          </w:tcPr>
          <w:p>
            <w:pPr>
              <w:spacing w:after="0"/>
              <w:rPr>
                <w:sz w:val="1"/>
                <w:szCs w:val="1"/>
                <w:color w:val="auto"/>
              </w:rPr>
            </w:pPr>
          </w:p>
        </w:tc>
      </w:tr>
      <w:tr>
        <w:trPr>
          <w:trHeight w:val="306"/>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4.3(a)*</w:t>
            </w: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to the FMC Technologies, Inc. Non-Qualified Savings and Investment Plan, dated October 29, 2009 (incorporated by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reference from Exhibit 10.9 to the Quarterly Report on Form 10-Q of FMC Technologies, Inc. filed on November 3, 2009 (File No. 001-</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16489))</w:t>
            </w:r>
          </w:p>
        </w:tc>
        <w:tc>
          <w:tcPr>
            <w:tcW w:w="0" w:type="dxa"/>
            <w:vAlign w:val="bottom"/>
          </w:tcPr>
          <w:p>
            <w:pPr>
              <w:spacing w:after="0"/>
              <w:rPr>
                <w:sz w:val="1"/>
                <w:szCs w:val="1"/>
                <w:color w:val="auto"/>
              </w:rPr>
            </w:pPr>
          </w:p>
        </w:tc>
      </w:tr>
      <w:tr>
        <w:trPr>
          <w:trHeight w:val="306"/>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4.3(b)*</w:t>
            </w: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Second Amendment to the FMC Technologies, Inc. Non-Qualified Savings and Investment Plan, dated December 18, 2015 (incorporated by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reference from Exhibit 10.14.b to the Annual Report on Form 10-K of FMC Technologies, Inc. filed on February 24, 2016 (File No. 001-</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16489))</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Opinion of Latham &amp; Watkins LLP (London), as to the validity of the securities being registered</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Consent of PricewaterhouseCoopers Audit and Ernst &amp; Young et Autres</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Consent of KPMG LLP</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Consent of Latham &amp; Watkins LLP (London) (included in Exhibit 5.1)</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Power of Attorney</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FMC Technologies, Inc. International Savings and Investment Plan Summary Plan Document</w:t>
            </w: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ectPr>
          <w:pgSz w:w="11900" w:h="16838" w:orient="portrait"/>
          <w:cols w:equalWidth="0" w:num="1">
            <w:col w:w="11420"/>
          </w:cols>
          <w:pgMar w:left="240" w:top="266" w:right="2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4.1(e)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FMC TECHNOLOGIES, INC. SAVINGS AND INVESTMENT PLAN</w:t>
      </w:r>
    </w:p>
    <w:p>
      <w:pPr>
        <w:spacing w:after="0" w:line="203" w:lineRule="exact"/>
        <w:rPr>
          <w:sz w:val="20"/>
          <w:szCs w:val="20"/>
          <w:color w:val="auto"/>
        </w:rPr>
      </w:pPr>
    </w:p>
    <w:p>
      <w:pPr>
        <w:ind w:right="1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FMC Technologies, Inc. (the “Company”) maintains the FMC Technologies, Inc. Savings and Investment Plan, as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January 1, 2013 (the “Plan”).</w:t>
      </w:r>
    </w:p>
    <w:p>
      <w:pPr>
        <w:spacing w:after="0" w:line="155" w:lineRule="exact"/>
        <w:rPr>
          <w:sz w:val="20"/>
          <w:szCs w:val="20"/>
          <w:color w:val="auto"/>
        </w:rPr>
      </w:pPr>
    </w:p>
    <w:p>
      <w:pPr>
        <w:jc w:val="both"/>
        <w:ind w:right="6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amend the Plan to provide for (1) the full vesting of certain participant accounts and (2) the limited ability to roll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certain participant loans, both with respect to participants who cease to be employees of the Company effective June 1, 2016 as a result of the sale of the Wireline business to Reliant Oilfield Services, effective June 1, 2016;</w:t>
      </w:r>
    </w:p>
    <w:p>
      <w:pPr>
        <w:spacing w:after="0" w:line="171" w:lineRule="exact"/>
        <w:rPr>
          <w:sz w:val="20"/>
          <w:szCs w:val="20"/>
          <w:color w:val="auto"/>
        </w:rPr>
      </w:pPr>
    </w:p>
    <w:p>
      <w:pPr>
        <w:ind w:right="38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amend the Plan to provide for the full vesting of certain participant accounts with respect to participants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cease to be employees of the Company effective November 7, 2016 as a result of the sale of the Blending &amp; Transfer business to Emerson, effective November 7, 2016; and</w:t>
      </w:r>
    </w:p>
    <w:p>
      <w:pPr>
        <w:spacing w:after="0" w:line="171" w:lineRule="exact"/>
        <w:rPr>
          <w:sz w:val="20"/>
          <w:szCs w:val="20"/>
          <w:color w:val="auto"/>
        </w:rPr>
      </w:pPr>
    </w:p>
    <w:p>
      <w:pPr>
        <w:ind w:right="2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Fifth Amendment will supersede the provisions of the Plan to the extent those provisions are inconsistent with the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w:t>
      </w:r>
    </w:p>
    <w:p>
      <w:pPr>
        <w:spacing w:after="0" w:line="155"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by virtue of the authority reserved to the Company by Section 12.1 of the Plan, the Plan is hereby amended as follows,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June 1, 2016, November 7, 2016 and December 22, 2016, respectively:</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Section 4.2.9 of the Plan is hereby amended to add the following sentences to the end thereto to read as follows:</w:t>
      </w:r>
    </w:p>
    <w:p>
      <w:pPr>
        <w:spacing w:after="0" w:line="225" w:lineRule="exact"/>
        <w:rPr>
          <w:sz w:val="20"/>
          <w:szCs w:val="20"/>
          <w:color w:val="auto"/>
        </w:rPr>
      </w:pPr>
    </w:p>
    <w:p>
      <w:pPr>
        <w:jc w:val="both"/>
        <w:ind w:left="460" w:right="320" w:firstLine="438"/>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the Plan, effective June 1, 2016, the Accounts of any Participant who ceased to be an employee of the Company effective as of June 1, 2016, as a result of the sale of the Wireline business to Reliant Oilfield Services, effective June 1, 2016, shall at all times be fully vested.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11" w:name="page12"/>
    <w:bookmarkEnd w:id="11"/>
    <w:p>
      <w:pPr>
        <w:jc w:val="both"/>
        <w:ind w:left="460" w:right="100" w:firstLine="43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 other provision of the Plan, effective November 7, 2016, the Accounts of any Participant who ceased to be an employee of the Company effective as of November 7, 2016 as a result of the sale of the Blending and Transfer business to Emerson, effective November 7, 2016, shall at all times be fully vested.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Section 6.7.6 of the Plan is hereby amended to add the following sentence to the end thereto to read as follows:</w:t>
      </w:r>
    </w:p>
    <w:p>
      <w:pPr>
        <w:spacing w:after="0" w:line="225" w:lineRule="exact"/>
        <w:rPr>
          <w:sz w:val="20"/>
          <w:szCs w:val="20"/>
          <w:color w:val="auto"/>
        </w:rPr>
      </w:pPr>
    </w:p>
    <w:p>
      <w:pPr>
        <w:ind w:left="460" w:firstLine="438"/>
        <w:spacing w:after="0" w:line="261" w:lineRule="auto"/>
        <w:rPr>
          <w:sz w:val="20"/>
          <w:szCs w:val="20"/>
          <w:color w:val="auto"/>
        </w:rPr>
      </w:pPr>
      <w:r>
        <w:rPr>
          <w:rFonts w:ascii="Times New Roman" w:cs="Times New Roman" w:eastAsia="Times New Roman" w:hAnsi="Times New Roman"/>
          <w:sz w:val="18"/>
          <w:szCs w:val="18"/>
          <w:color w:val="auto"/>
        </w:rPr>
        <w:t>Notwithstanding the preceding, during the period commencing June 1, 2016 and ending August 31, 2016, a Participant who ceased to be an employee of the Company effective as of June 1, 2016 as a result of the sale of the Wireline business to Reliant Oilfield Services, effective June 1, 2016, shall be permitted to roll over the Participant’s outstanding loans in an eligible rollover distribution to an eligible retirement plan that is willing to accept such loan rollover.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amendment to be executed by a duly authorized representative this 22nd day of December,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w:t>
      </w:r>
    </w:p>
    <w:p>
      <w:pPr>
        <w:spacing w:after="0" w:line="20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FMC Technologies, Inc.</w:t>
      </w:r>
    </w:p>
    <w:p>
      <w:pPr>
        <w:spacing w:after="0" w:line="37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/s/ Maryann T. Mannen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Executive Vice President &amp; CFO</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270" w:right="27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4.1(f)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FMC TECHNOLOGIES, INC. SAVINGS AND INVESTMENT PLAN</w:t>
      </w:r>
    </w:p>
    <w:p>
      <w:pPr>
        <w:spacing w:after="0" w:line="203" w:lineRule="exact"/>
        <w:rPr>
          <w:sz w:val="20"/>
          <w:szCs w:val="20"/>
          <w:color w:val="auto"/>
        </w:rPr>
      </w:pPr>
    </w:p>
    <w:p>
      <w:pPr>
        <w:ind w:right="14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FMC Technologies, Inc. (the “Company”) maintains the FMC Technologies, Inc. Savings and Investment Plan, as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January 1, 2013 (the “Plan”).</w:t>
      </w:r>
    </w:p>
    <w:p>
      <w:pPr>
        <w:spacing w:after="0" w:line="155" w:lineRule="exact"/>
        <w:rPr>
          <w:sz w:val="20"/>
          <w:szCs w:val="20"/>
          <w:color w:val="auto"/>
        </w:rPr>
      </w:pPr>
    </w:p>
    <w:p>
      <w:pPr>
        <w:ind w:right="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amend the Plan to provide for the full vesting of certain participant accounts with respect to participants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cease to be employees of the Company effective December 30, 2016 as a result of the sale of the Material Handling Chalfont business to TAKRAF USA, Inc., effective December 30, 2016; and</w:t>
      </w:r>
    </w:p>
    <w:p>
      <w:pPr>
        <w:spacing w:after="0" w:line="171" w:lineRule="exact"/>
        <w:rPr>
          <w:sz w:val="20"/>
          <w:szCs w:val="20"/>
          <w:color w:val="auto"/>
        </w:rPr>
      </w:pPr>
    </w:p>
    <w:p>
      <w:pPr>
        <w:ind w:right="2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Sixth Amendment will supersede the provisions of the Plan to the extent those provisions are inconsistent with the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w:t>
      </w:r>
    </w:p>
    <w:p>
      <w:pPr>
        <w:spacing w:after="0" w:line="155"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by virtue of the authority reserved to the Company by Section 12.1 of the Plan, the Plan is hereby amended as follows,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December 30, 2016, respectively:</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Section 4.2.9 of the Plan is hereby amended to add the following sentences to the end thereto to read as follows:</w:t>
      </w:r>
    </w:p>
    <w:p>
      <w:pPr>
        <w:spacing w:after="0" w:line="225" w:lineRule="exact"/>
        <w:rPr>
          <w:sz w:val="20"/>
          <w:szCs w:val="20"/>
          <w:color w:val="auto"/>
        </w:rPr>
      </w:pPr>
    </w:p>
    <w:p>
      <w:pPr>
        <w:ind w:left="460" w:right="80" w:firstLine="438"/>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the Plan, effective December 30, 2016, the Accounts of any Participant who ceased to be an employee of the Company effective as of December 30, 2016, as a result of the sale of the Material Handling Chalfont business TAKRAF USA, Inc., effective December 30, 2016, shall at all times be fully vested.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amendment to be executed by a duly authorized representative this 13th day of January,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w:t>
      </w:r>
    </w:p>
    <w:p>
      <w:pPr>
        <w:spacing w:after="0" w:line="20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FMC Technologies, Inc.</w:t>
      </w:r>
    </w:p>
    <w:p>
      <w:pPr>
        <w:spacing w:after="0" w:line="33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/s/ Maryann T. Mannen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Executive Vice President &amp; CFO</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FMC PUERTO RICO</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SAVINGS AND INVESTMENT PLAN</w:t>
      </w:r>
    </w:p>
    <w:p>
      <w:pPr>
        <w:spacing w:after="0" w:line="2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(As Amended and Restated Effective as of January 1, 2000)</w:t>
      </w:r>
    </w:p>
    <w:p>
      <w:pPr>
        <w:sectPr>
          <w:pgSz w:w="11900" w:h="16838" w:orient="portrait"/>
          <w:cols w:equalWidth="0" w:num="1">
            <w:col w:w="10220"/>
          </w:cols>
          <w:pgMar w:left="1440" w:top="117"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6960" w:type="dxa"/>
            <w:vAlign w:val="bottom"/>
            <w:gridSpan w:val="5"/>
          </w:tcPr>
          <w:p>
            <w:pPr>
              <w:jc w:val="right"/>
              <w:ind w:right="47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412"/>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SECTION 1. ESTABLISHMENT OF THE PLAN</w:t>
            </w:r>
          </w:p>
        </w:tc>
        <w:tc>
          <w:tcPr>
            <w:tcW w:w="3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28"/>
        </w:trPr>
        <w:tc>
          <w:tcPr>
            <w:tcW w:w="44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2. ELIGIBILITY AND PARTICIPATION</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Participants</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Suspension of Active Participation</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of Participation</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3. PRE-TAX CONTRIBUTIONS</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Pre-Tax Contributions</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Changing the Rate of Pre-Tax Contributions</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Payroll Deductions</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of Pre-Tax Contributions</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 of Funds</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Rollover Amount From Other Plans</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After-Tax Contributions</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4. COMPANY CONTRIBUTIONS</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Contributions</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4"/>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Allocation of Company Contributions</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0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5. WITHDRAWALS</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Withdrawals from After-Tax Contributions</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Hardship Withdrawals</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374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Age 59-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6"/>
                <w:szCs w:val="16"/>
                <w:color w:val="auto"/>
              </w:rPr>
              <w:t xml:space="preserve"> Withdrawals</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Election and Payment of Withdrawals</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Source of Payment</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Payment and Valuation Date</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Withdrawals</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Suspension for Withdrawal</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4"/>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 Rollover Option</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0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6. LOANS</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Terms of Loans</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Limitations on Loans</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 Procedures</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 of Loans</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0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7. VESTING</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Five-Year Vesting</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Graded Vesting</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Full Vesting</w:t>
            </w:r>
          </w:p>
        </w:tc>
        <w:tc>
          <w:tcPr>
            <w:tcW w:w="69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60"/>
          </w:cols>
          <w:pgMar w:left="240" w:top="257" w:right="2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3"/>
        </w:trPr>
        <w:tc>
          <w:tcPr>
            <w:tcW w:w="11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SECTION 8. DISTRIBUTABLE INTERESTS AND FORFEITURES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11060" w:type="dxa"/>
            <w:vAlign w:val="bottom"/>
            <w:gridSpan w:val="2"/>
            <w:vMerge w:val="continue"/>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 Benefits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Forfeitures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06"/>
        </w:trPr>
        <w:tc>
          <w:tcPr>
            <w:tcW w:w="1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9. FORM OF PLAN BENEFIT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Normal Forms of Distribution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Optional Form of Distribution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Distribution Events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Missing Persons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to Beneficiary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of Election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06"/>
        </w:trPr>
        <w:tc>
          <w:tcPr>
            <w:tcW w:w="1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10. CLAIM PROCEDURE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Application for Benefits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Decision of Administrator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06"/>
        </w:trPr>
        <w:tc>
          <w:tcPr>
            <w:tcW w:w="1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11. APPEAL PROCEDURE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Review Panel</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Requests for a Review</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Decision on Review</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Rules and Procedures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4"/>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Exhaustion of Remedies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06"/>
        </w:trPr>
        <w:tc>
          <w:tcPr>
            <w:tcW w:w="1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12. FIDUCIARIES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Named Fiduciaries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Employment of Advisers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Multiple Fiduciary Capacities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Expenses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8"/>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6"/>
        </w:trPr>
        <w:tc>
          <w:tcPr>
            <w:tcW w:w="1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13. PLAN ADMINISTRATION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Powers, Duties and Responsibilities of the Administrator and the Committee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Powers, Duties and Responsibilities of the Administrator and the Committee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of Accounts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Valuation of Accounts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Delegation of Responsibility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4"/>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Committee Members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360"/>
          </w:cols>
          <w:pgMar w:left="240" w:top="263" w:right="2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3"/>
        </w:trPr>
        <w:tc>
          <w:tcPr>
            <w:tcW w:w="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(h)</w:t>
            </w:r>
          </w:p>
        </w:tc>
        <w:tc>
          <w:tcPr>
            <w:tcW w:w="103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Appointments of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28"/>
        </w:trPr>
        <w:tc>
          <w:tcPr>
            <w:tcW w:w="680" w:type="dxa"/>
            <w:vAlign w:val="bottom"/>
            <w:vMerge w:val="continue"/>
          </w:tcPr>
          <w:p>
            <w:pPr>
              <w:spacing w:after="0"/>
              <w:rPr>
                <w:sz w:val="19"/>
                <w:szCs w:val="19"/>
                <w:color w:val="auto"/>
              </w:rPr>
            </w:pPr>
          </w:p>
        </w:tc>
        <w:tc>
          <w:tcPr>
            <w:tcW w:w="10380" w:type="dxa"/>
            <w:vAlign w:val="bottom"/>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14. FUNDING OF THE PLAN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Funding Policy and Method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Public Accountant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Basis of Payments to the Plan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Basis of Payments from the Plan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4"/>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of Trust Assets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06"/>
        </w:trPr>
        <w:tc>
          <w:tcPr>
            <w:tcW w:w="1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15. PARTICIPANTS’ ACCOUNTS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4"/>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Participants’ Accounts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06"/>
        </w:trPr>
        <w:tc>
          <w:tcPr>
            <w:tcW w:w="1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16. AMENDMENT AND TERMINATION OF THE PLAN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Future of the Plan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of the Plan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4"/>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Allocation of Trust Fund Upon Termination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06"/>
        </w:trPr>
        <w:tc>
          <w:tcPr>
            <w:tcW w:w="1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17. NONDISCRIMINATION REQUIREMENTS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Nondiscrimination Requirements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Nondiscrimination Test for Pre-Tax Contributions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Leveling Method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4"/>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Allocable to Excess Deferrals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06"/>
        </w:trPr>
        <w:tc>
          <w:tcPr>
            <w:tcW w:w="1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18. GENERAL PROVISIONS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 Mergers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Assignment of Property Rights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Beneficiary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Incapacity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Employment Rights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Voting Rights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on Tender or Exchange Offer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 Statements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Choice of Law</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4"/>
        </w:trPr>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w:t>
            </w:r>
          </w:p>
        </w:tc>
        <w:tc>
          <w:tcPr>
            <w:tcW w:w="10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Participation in the Plan by an Affiliate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19. DEFINITIONS</w:t>
            </w:r>
          </w:p>
        </w:tc>
        <w:tc>
          <w:tcPr>
            <w:tcW w:w="7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20. EXECUTION</w:t>
            </w:r>
          </w:p>
        </w:tc>
        <w:tc>
          <w:tcPr>
            <w:tcW w:w="7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65"/>
        </w:trPr>
        <w:tc>
          <w:tcPr>
            <w:tcW w:w="3980" w:type="dxa"/>
            <w:vAlign w:val="bottom"/>
          </w:tcPr>
          <w:p>
            <w:pPr>
              <w:spacing w:after="0"/>
              <w:rPr>
                <w:sz w:val="24"/>
                <w:szCs w:val="24"/>
                <w:color w:val="auto"/>
              </w:rPr>
            </w:pPr>
          </w:p>
        </w:tc>
        <w:tc>
          <w:tcPr>
            <w:tcW w:w="738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iii</w:t>
            </w:r>
          </w:p>
        </w:tc>
      </w:tr>
    </w:tbl>
    <w:p>
      <w:pPr>
        <w:sectPr>
          <w:pgSz w:w="11900" w:h="16838" w:orient="portrait"/>
          <w:cols w:equalWidth="0" w:num="1">
            <w:col w:w="11360"/>
          </w:cols>
          <w:pgMar w:left="240" w:top="263" w:right="29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FMC PUERTO RICO</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SAVINGS AND INVESTMENT PLAN</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ESTABLISHMENT OF THE PLAN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Plan was established by the Company effective January 1, 1998 as the FMC Puerto Rico Thrift and Stock Purchase Plan for the benefit of its employees in Puerto Rico. The Plan is intended to provide employees of the Company an opportunity for systematic investment, to strengthen the interest of employees in the Company and thereby promote the mutual interests of the Company, its eligible employees and its shareholders, and to provide a measure of financial security for employees and their beneficiaries. The Plan is subject to change to meet applicable rules and regulations of the Puerto Rico Treasury Department and the United States Department of Labor and for such other reasons as the Company may determine. This document is an amendment and restatement of the Plan generally effective as of January 1, 2000 and changes the name of the Plan to the FMC Puerto Rico Savings and Investment Plan.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Plan is intended to qualify as a profit-sharing plan containing a cash or deferred arrangement under Sections 1165(a) and (e) of the Code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forming a part hereof is intended to be exempt from taxation under Code Section 1165(a) and, pursuant to Section 1022(i)(1) of ERISA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501(a) of the United States Internal Revenue Code of 1986. Certain capitalized terms in the Plan text are defined in alphabetical order in Section 18.</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80"/>
          </w:cols>
          <w:pgMar w:left="240" w:top="266" w:right="2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 </w:t>
      </w:r>
      <w:r>
        <w:rPr>
          <w:rFonts w:ascii="Times New Roman" w:cs="Times New Roman" w:eastAsia="Times New Roman" w:hAnsi="Times New Roman"/>
          <w:sz w:val="18"/>
          <w:szCs w:val="18"/>
          <w:b w:val="1"/>
          <w:bCs w:val="1"/>
          <w:u w:val="single" w:color="auto"/>
          <w:color w:val="auto"/>
        </w:rPr>
        <w:t>ELIGIBILITY AND PARTICIPATION</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60" w:firstLine="921"/>
        <w:spacing w:after="0" w:line="255" w:lineRule="auto"/>
        <w:tabs>
          <w:tab w:leader="none" w:pos="69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Participants</w:t>
      </w:r>
      <w:r>
        <w:rPr>
          <w:rFonts w:ascii="Times New Roman" w:cs="Times New Roman" w:eastAsia="Times New Roman" w:hAnsi="Times New Roman"/>
          <w:sz w:val="18"/>
          <w:szCs w:val="18"/>
          <w:color w:val="auto"/>
        </w:rPr>
        <w:t>. Participation in the Plan is voluntary. An Employee becomes a Participant as of the date the Employee satisfies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requirements: (i) the Employee is an Eligible Employee; (ii) the Employee is either (1) a permanent, full-time Employee, (2) is a permanent, part-time employee eligible for benefits, or (3) has completed at least 1,000 hours of service in a 12-month period beginning on the date on which he or she is first entitled to payment from the Company or an Affiliate of the Company for the performance of duties; (iii) the Employee has filed with the Administrator a form on which the Participant makes a contribution election; and (iv) the Employee’s election has become effective according to the uniform and nondiscriminatory rules established by the Administrator. In place of a form, the Administrator may substitute a telephonic or electronic means of enrollment. The Regular Compensation of an Eligible Employee who so elects to participate shall be reduced by an amount equal to the Dollar Limit, but not more than 10% of his Regular Compensation, which reduced amount shall be his “Adjusted Regular Compensation.” Such Eligible Employee shall become a Participant as soon as administratively feasible after enrollment.</w:t>
      </w:r>
    </w:p>
    <w:p>
      <w:pPr>
        <w:spacing w:after="0" w:line="73" w:lineRule="exact"/>
        <w:rPr>
          <w:rFonts w:ascii="Times New Roman" w:cs="Times New Roman" w:eastAsia="Times New Roman" w:hAnsi="Times New Roman"/>
          <w:sz w:val="18"/>
          <w:szCs w:val="18"/>
          <w:color w:val="auto"/>
        </w:rPr>
      </w:pPr>
    </w:p>
    <w:p>
      <w:pPr>
        <w:ind w:left="720" w:hanging="259"/>
        <w:spacing w:after="0"/>
        <w:tabs>
          <w:tab w:leader="none" w:pos="7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Suspension of Active Participation</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Participant’s Active Participation in the Plan shall be suspended during the following periods of time:</w:t>
      </w:r>
    </w:p>
    <w:p>
      <w:pPr>
        <w:spacing w:after="0" w:line="132" w:lineRule="exact"/>
        <w:rPr>
          <w:rFonts w:ascii="Times New Roman" w:cs="Times New Roman" w:eastAsia="Times New Roman" w:hAnsi="Times New Roman"/>
          <w:sz w:val="17"/>
          <w:szCs w:val="17"/>
          <w:color w:val="auto"/>
        </w:rPr>
      </w:pPr>
    </w:p>
    <w:p>
      <w:pPr>
        <w:ind w:left="1100" w:hanging="219"/>
        <w:spacing w:after="0"/>
        <w:tabs>
          <w:tab w:leader="none" w:pos="11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period during which he continues to be an employee of the Company but does not qualify as an Eligible Employee;</w:t>
      </w:r>
    </w:p>
    <w:p>
      <w:pPr>
        <w:spacing w:after="0" w:line="117" w:lineRule="exact"/>
        <w:rPr>
          <w:rFonts w:ascii="Times New Roman" w:cs="Times New Roman" w:eastAsia="Times New Roman" w:hAnsi="Times New Roman"/>
          <w:sz w:val="18"/>
          <w:szCs w:val="18"/>
          <w:color w:val="auto"/>
        </w:rPr>
      </w:pPr>
    </w:p>
    <w:p>
      <w:pPr>
        <w:ind w:left="1140" w:hanging="259"/>
        <w:spacing w:after="0"/>
        <w:tabs>
          <w:tab w:leader="none" w:pos="11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period for which he does not receive Regular Compensation including (without limitation) any leave of absence without pay;</w:t>
      </w:r>
    </w:p>
    <w:p>
      <w:pPr>
        <w:spacing w:after="0" w:line="117" w:lineRule="exact"/>
        <w:rPr>
          <w:rFonts w:ascii="Times New Roman" w:cs="Times New Roman" w:eastAsia="Times New Roman" w:hAnsi="Times New Roman"/>
          <w:sz w:val="18"/>
          <w:szCs w:val="18"/>
          <w:color w:val="auto"/>
        </w:rPr>
      </w:pPr>
    </w:p>
    <w:p>
      <w:pPr>
        <w:ind w:left="5200" w:right="80" w:hanging="4319"/>
        <w:spacing w:after="0" w:line="454" w:lineRule="auto"/>
        <w:tabs>
          <w:tab w:leader="none" w:pos="118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period described in Subsection 3(a)(ii) and the last sentence of Subsection 5(h) (voluntary discontinuance of Pre-Tax Contributions); 2</w:t>
      </w:r>
    </w:p>
    <w:p>
      <w:pPr>
        <w:sectPr>
          <w:pgSz w:w="11900" w:h="16838" w:orient="portrait"/>
          <w:cols w:equalWidth="0" w:num="1">
            <w:col w:w="10940"/>
          </w:cols>
          <w:pgMar w:left="700" w:top="266" w:right="25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(iv) a period described in Subsection 5(a) relating to periods of suspension following withdrawal from the After-Tax Contribution Account;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w:t>
      </w:r>
    </w:p>
    <w:p>
      <w:pPr>
        <w:spacing w:after="0" w:line="99" w:lineRule="exact"/>
        <w:rPr>
          <w:sz w:val="20"/>
          <w:szCs w:val="20"/>
          <w:color w:val="auto"/>
        </w:rPr>
      </w:pPr>
    </w:p>
    <w:p>
      <w:pPr>
        <w:ind w:left="460" w:right="100" w:firstLine="881"/>
        <w:spacing w:after="0" w:line="282" w:lineRule="auto"/>
        <w:tabs>
          <w:tab w:leader="none" w:pos="159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falling between the date when her employment with the Company terminates and the date when her participation terminates under Subsection 2(c).</w:t>
      </w:r>
    </w:p>
    <w:p>
      <w:pPr>
        <w:spacing w:after="0" w:line="162" w:lineRule="exact"/>
        <w:rPr>
          <w:sz w:val="20"/>
          <w:szCs w:val="20"/>
          <w:color w:val="auto"/>
        </w:rPr>
      </w:pPr>
    </w:p>
    <w:p>
      <w:pPr>
        <w:ind w:right="100" w:firstLine="1484"/>
        <w:spacing w:after="0" w:line="258" w:lineRule="auto"/>
        <w:rPr>
          <w:sz w:val="20"/>
          <w:szCs w:val="20"/>
          <w:color w:val="auto"/>
        </w:rPr>
      </w:pPr>
      <w:r>
        <w:rPr>
          <w:rFonts w:ascii="Times New Roman" w:cs="Times New Roman" w:eastAsia="Times New Roman" w:hAnsi="Times New Roman"/>
          <w:sz w:val="18"/>
          <w:szCs w:val="18"/>
          <w:color w:val="auto"/>
        </w:rPr>
        <w:t>While a Participant’s Active Participation is suspended, she shall neither elect any Pre-Tax Contributions nor receive any allocation of Company Contributions or Forfeitures made with respect to the period of suspended Active Participation. Vesting will continue during suspension and termination periods under (i), (iii), and (iv) above but not under (v) above. Vesting will continue only during the first 12 months of a period under (ii) above, but not thereafter. The accounts of a Participant whose Active Participation is suspended shall, subject to Subsection 3(e), remain invested in the Investment Fund, and shall continue to be credited with any earnings, appreciation or losses arising with respect thereto.</w:t>
      </w:r>
    </w:p>
    <w:p>
      <w:pPr>
        <w:spacing w:after="0" w:line="72" w:lineRule="exact"/>
        <w:rPr>
          <w:sz w:val="20"/>
          <w:szCs w:val="20"/>
          <w:color w:val="auto"/>
        </w:rPr>
      </w:pPr>
    </w:p>
    <w:p>
      <w:pPr>
        <w:ind w:right="380" w:firstLine="921"/>
        <w:spacing w:after="0" w:line="286" w:lineRule="auto"/>
        <w:tabs>
          <w:tab w:leader="none" w:pos="11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of Participation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Participant shall cease to participate in the Plan as of the date when her entire Plan Benefit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distributed or on the date of her death.</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270" w:right="279" w:bottom="1440" w:gutter="0" w:footer="0" w:header="0"/>
        </w:sectPr>
      </w:pPr>
    </w:p>
    <w:bookmarkStart w:id="20" w:name="page21"/>
    <w:bookmarkEnd w:id="20"/>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 </w:t>
      </w:r>
      <w:r>
        <w:rPr>
          <w:rFonts w:ascii="Times New Roman" w:cs="Times New Roman" w:eastAsia="Times New Roman" w:hAnsi="Times New Roman"/>
          <w:sz w:val="18"/>
          <w:szCs w:val="18"/>
          <w:b w:val="1"/>
          <w:bCs w:val="1"/>
          <w:u w:val="single" w:color="auto"/>
          <w:color w:val="auto"/>
        </w:rPr>
        <w:t>PRE-TAX CONTRIBUTIONS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1120" w:hanging="239"/>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Pre-Tax Contributions</w:t>
      </w:r>
      <w:r>
        <w:rPr>
          <w:rFonts w:ascii="Times New Roman" w:cs="Times New Roman" w:eastAsia="Times New Roman" w:hAnsi="Times New Roman"/>
          <w:sz w:val="18"/>
          <w:szCs w:val="18"/>
          <w:u w:val="single" w:color="auto"/>
          <w:color w:val="auto"/>
        </w:rPr>
        <w:t>.</w:t>
      </w:r>
    </w:p>
    <w:p>
      <w:pPr>
        <w:spacing w:after="0" w:line="225" w:lineRule="exact"/>
        <w:rPr>
          <w:rFonts w:ascii="Times New Roman" w:cs="Times New Roman" w:eastAsia="Times New Roman" w:hAnsi="Times New Roman"/>
          <w:sz w:val="18"/>
          <w:szCs w:val="18"/>
          <w:color w:val="auto"/>
        </w:rPr>
      </w:pPr>
    </w:p>
    <w:p>
      <w:pPr>
        <w:ind w:left="420" w:firstLine="881"/>
        <w:spacing w:after="0" w:line="255" w:lineRule="auto"/>
        <w:tabs>
          <w:tab w:leader="none" w:pos="151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Election</w:t>
      </w:r>
      <w:r>
        <w:rPr>
          <w:rFonts w:ascii="Times New Roman" w:cs="Times New Roman" w:eastAsia="Times New Roman" w:hAnsi="Times New Roman"/>
          <w:sz w:val="18"/>
          <w:szCs w:val="18"/>
          <w:color w:val="auto"/>
        </w:rPr>
        <w:t>. While a Participant’s Active Participation is not suspended he may elect to have contributed to the Trust out of the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 compensation reduction provided in Subsection 2(a), a “Pre-Tax Contribution.” A Participant may elect an annual rate of Pre-Tax Contributions of at least 2% and up to 10% (in whole percentages) of his Regular Compensation, but not more than the Dollar Limit per Year by filing the prescribed application form with the Administrator. In place of a form, the Administrator may substitute a telephonic or electronic means of election. No Participant shall be permitted to have Pre-Tax Contributions made under this Plan during any Year that, when aggregated with elective deferrals (within the meaning of Code Section 1165(e)(7)(A)) made under all other plans of the Company during such Year, such contributions exceed the Dollar Limit. Such election shall be effective as soon as administratively feasible following the date such election is received by the Administrator, shall have no retroactive effect and shall remain in force until revoked as provided in Section 3(b).</w:t>
      </w:r>
    </w:p>
    <w:p>
      <w:pPr>
        <w:spacing w:after="0" w:line="77" w:lineRule="exact"/>
        <w:rPr>
          <w:rFonts w:ascii="Times New Roman" w:cs="Times New Roman" w:eastAsia="Times New Roman" w:hAnsi="Times New Roman"/>
          <w:sz w:val="18"/>
          <w:szCs w:val="18"/>
          <w:color w:val="auto"/>
        </w:rPr>
      </w:pPr>
    </w:p>
    <w:p>
      <w:pPr>
        <w:ind w:left="420" w:right="540" w:firstLine="881"/>
        <w:spacing w:after="0" w:line="268" w:lineRule="auto"/>
        <w:tabs>
          <w:tab w:leader="none" w:pos="156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Discontinuance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Participant may elect at any time the discontinuance of future Pre-Tax Contributions in the form and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prescribed by the Administrator. Such discontinuance shall become effective as soon as administratively feasible following the date such discontinuance is received by the Administrator.</w:t>
      </w:r>
    </w:p>
    <w:p>
      <w:pPr>
        <w:spacing w:after="0" w:line="62" w:lineRule="exact"/>
        <w:rPr>
          <w:rFonts w:ascii="Times New Roman" w:cs="Times New Roman" w:eastAsia="Times New Roman" w:hAnsi="Times New Roman"/>
          <w:sz w:val="18"/>
          <w:szCs w:val="18"/>
          <w:color w:val="auto"/>
        </w:rPr>
      </w:pPr>
    </w:p>
    <w:p>
      <w:pPr>
        <w:ind w:left="-40" w:right="100" w:firstLine="921"/>
        <w:spacing w:after="0" w:line="268" w:lineRule="auto"/>
        <w:tabs>
          <w:tab w:leader="none" w:pos="11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Changing the Rate of Pre-Tax Contributions</w:t>
      </w:r>
      <w:r>
        <w:rPr>
          <w:rFonts w:ascii="Times New Roman" w:cs="Times New Roman" w:eastAsia="Times New Roman" w:hAnsi="Times New Roman"/>
          <w:sz w:val="18"/>
          <w:szCs w:val="18"/>
          <w:color w:val="auto"/>
        </w:rPr>
        <w:t>. A Participant may at any time elect to change her rate of Pre-Tax Contributions to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 available to her under Subsection 3(a) above. Any election under this Subsection 3(b) shall be made in the form and manner prescribed by the Administrator and shall be effective as soon as administratively feasible following the date such change is received by the Administrator.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80" w:top="266" w:right="259" w:bottom="1440" w:gutter="0" w:footer="0" w:header="0"/>
        </w:sectPr>
      </w:pPr>
    </w:p>
    <w:bookmarkStart w:id="21" w:name="page22"/>
    <w:bookmarkEnd w:id="21"/>
    <w:p>
      <w:pPr>
        <w:ind w:left="-8" w:right="80" w:firstLine="921"/>
        <w:spacing w:after="0" w:line="259" w:lineRule="auto"/>
        <w:tabs>
          <w:tab w:leader="none" w:pos="114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Payroll Deductions</w:t>
      </w:r>
      <w:r>
        <w:rPr>
          <w:rFonts w:ascii="Times New Roman" w:cs="Times New Roman" w:eastAsia="Times New Roman" w:hAnsi="Times New Roman"/>
          <w:sz w:val="18"/>
          <w:szCs w:val="18"/>
          <w:color w:val="auto"/>
        </w:rPr>
        <w:t>. Pre-Tax Contributions shall be made only through periodic payroll deductions, unless the Company or its delegate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consents to another method of payment. All Pre-Tax Contributions withheld during a calendar month shall be paid to the Trustee as of the earliest date on which such contributions can reasonably be segregated from the Company’s general assets but no later than the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business day of the month following the month in which the amounts would have been paid to the Participant but for the Participant’s election pursuant to Subsection 3(a). The provisions of the United States Department of Labor Regulations, Section 2510.3-102, are incorporated herein by reference.</w:t>
      </w:r>
    </w:p>
    <w:p>
      <w:pPr>
        <w:spacing w:after="0" w:line="71" w:lineRule="exact"/>
        <w:rPr>
          <w:rFonts w:ascii="Times New Roman" w:cs="Times New Roman" w:eastAsia="Times New Roman" w:hAnsi="Times New Roman"/>
          <w:sz w:val="18"/>
          <w:szCs w:val="18"/>
          <w:color w:val="auto"/>
        </w:rPr>
      </w:pPr>
    </w:p>
    <w:p>
      <w:pPr>
        <w:ind w:left="-8" w:right="340" w:firstLine="921"/>
        <w:spacing w:after="0" w:line="268" w:lineRule="auto"/>
        <w:tabs>
          <w:tab w:leader="none" w:pos="1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Investment of Pre-Tax Contributions</w:t>
      </w:r>
      <w:r>
        <w:rPr>
          <w:rFonts w:ascii="Times New Roman" w:cs="Times New Roman" w:eastAsia="Times New Roman" w:hAnsi="Times New Roman"/>
          <w:sz w:val="18"/>
          <w:szCs w:val="18"/>
          <w:color w:val="auto"/>
        </w:rPr>
        <w:t>. A Participant’s Pre-Tax Contributions shall be invested in the available Investment Funds,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in Section 13(c). A Participant may change such election prospectively in the form and manner prescribed by the Administrator. Such change shall be effective as soon as administratively feasible following the date such change is received by the Administrator.</w:t>
      </w:r>
    </w:p>
    <w:p>
      <w:pPr>
        <w:spacing w:after="0" w:line="62" w:lineRule="exact"/>
        <w:rPr>
          <w:rFonts w:ascii="Times New Roman" w:cs="Times New Roman" w:eastAsia="Times New Roman" w:hAnsi="Times New Roman"/>
          <w:sz w:val="18"/>
          <w:szCs w:val="18"/>
          <w:color w:val="auto"/>
        </w:rPr>
      </w:pPr>
    </w:p>
    <w:p>
      <w:pPr>
        <w:ind w:left="-8" w:firstLine="921"/>
        <w:spacing w:after="0" w:line="269" w:lineRule="auto"/>
        <w:tabs>
          <w:tab w:leader="none" w:pos="1149"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Transfer of Funds</w:t>
      </w:r>
      <w:r>
        <w:rPr>
          <w:rFonts w:ascii="Times New Roman" w:cs="Times New Roman" w:eastAsia="Times New Roman" w:hAnsi="Times New Roman"/>
          <w:sz w:val="17"/>
          <w:szCs w:val="17"/>
          <w:color w:val="auto"/>
        </w:rPr>
        <w:t>. At anytime a Participant may elect to transfer among any of the Investment Funds, except for the Stock Fund, the entire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balance (if any) of her After-Tax Contributions Account, and Pre-Tax Contributions Account then invested in any of such funds, or any portion of the aggregate balance of those accounts. Any election under this Subsection 3(e) shall be made in the form and manner prescribed by the Administrator, and such transfer shall be made effective as soon as administratively feasible following the date such request for transfer is received by the Administrator. For purposes of accounting for such a transfer, the value of the Participant’s balance in the account or portion thereof transferred shall be determined as of each Valuation Date. Participant may transfer the entire balance (if any) of her After-Tax Contributions Account and Pre-Tax Contributions, or any portion of the aggregate balance of those accounts in to the Stock Fund at any time, but transfers of such accounts out of the Stock Fund are subject to the restrictions of Section 13(c)</w:t>
      </w:r>
    </w:p>
    <w:p>
      <w:pPr>
        <w:spacing w:after="0" w:line="1" w:lineRule="exact"/>
        <w:rPr>
          <w:rFonts w:ascii="Times New Roman" w:cs="Times New Roman" w:eastAsia="Times New Roman" w:hAnsi="Times New Roman"/>
          <w:sz w:val="17"/>
          <w:szCs w:val="17"/>
          <w:color w:val="auto"/>
        </w:rPr>
      </w:pPr>
    </w:p>
    <w:p>
      <w:pPr>
        <w:ind w:left="312" w:hanging="312"/>
        <w:spacing w:after="0"/>
        <w:tabs>
          <w:tab w:leader="none" w:pos="3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13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72"/>
          </w:cols>
          <w:pgMar w:left="248" w:top="266" w:right="279" w:bottom="1440" w:gutter="0" w:footer="0" w:header="0"/>
        </w:sectPr>
      </w:pPr>
    </w:p>
    <w:bookmarkStart w:id="22" w:name="page23"/>
    <w:bookmarkEnd w:id="22"/>
    <w:p>
      <w:pPr>
        <w:ind w:right="60" w:firstLine="921"/>
        <w:spacing w:after="0" w:line="262" w:lineRule="auto"/>
        <w:tabs>
          <w:tab w:leader="none" w:pos="11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Rollover Amount From Other Plans</w:t>
      </w:r>
      <w:r>
        <w:rPr>
          <w:rFonts w:ascii="Times New Roman" w:cs="Times New Roman" w:eastAsia="Times New Roman" w:hAnsi="Times New Roman"/>
          <w:sz w:val="18"/>
          <w:szCs w:val="18"/>
          <w:color w:val="auto"/>
        </w:rPr>
        <w:t>. An Eligible Employee, regardless of whether she has elected to otherwise participate in the Plan,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to the Trust Fund amounts from other qualified plans which meet the requirements of Section 1165(a) of the Code (the “Other Plan”), subject to refund upon any subsequent contrary determination by the Puerto Rico Treasury Department. The procedures approved by the Administrator shall provide that such a transfer may be made only if the following conditions are met:</w:t>
      </w:r>
    </w:p>
    <w:p>
      <w:pPr>
        <w:spacing w:after="0" w:line="72"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occurs on or before the 60th day following the Eligible Employee’s receipt of the distribution from the Other Plan; and</w:t>
      </w:r>
    </w:p>
    <w:p>
      <w:pPr>
        <w:spacing w:after="0" w:line="117"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transferred are either employer or pre-tax employee contributions (or earnings thereon) and/or after-tax contributions or</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thereon that were held in the Other Plan.</w:t>
      </w:r>
    </w:p>
    <w:p>
      <w:pPr>
        <w:spacing w:after="0" w:line="207" w:lineRule="exact"/>
        <w:rPr>
          <w:sz w:val="20"/>
          <w:szCs w:val="20"/>
          <w:color w:val="auto"/>
        </w:rPr>
      </w:pPr>
    </w:p>
    <w:p>
      <w:pPr>
        <w:ind w:right="100" w:firstLine="1484"/>
        <w:spacing w:after="0" w:line="258" w:lineRule="auto"/>
        <w:rPr>
          <w:sz w:val="20"/>
          <w:szCs w:val="20"/>
          <w:color w:val="auto"/>
        </w:rPr>
      </w:pPr>
      <w:r>
        <w:rPr>
          <w:rFonts w:ascii="Times New Roman" w:cs="Times New Roman" w:eastAsia="Times New Roman" w:hAnsi="Times New Roman"/>
          <w:sz w:val="18"/>
          <w:szCs w:val="18"/>
          <w:color w:val="auto"/>
        </w:rPr>
        <w:t>The Administrator shall develop such procedures, and may require such information from an Eligible Employee desiring to make such a transfer, as it deems necessary or desirable to determine that the proposed transfer will meet the requirements of this Subsection. Upon approval by the Administrator, the amount transferred shall be deposited in the Trust Fund, and held for the benefit of the Eligible Employee in an Employee Rollover Contributions Account. The Employee Rollover Contributions Account shall share in the earnings and appreciation of the Investment Fund in which it is invested in accordance with Subsection 14(e), but shall not share in Company Contributions and Forfeitures.</w:t>
      </w:r>
    </w:p>
    <w:p>
      <w:pPr>
        <w:spacing w:after="0" w:line="72" w:lineRule="exact"/>
        <w:rPr>
          <w:sz w:val="20"/>
          <w:szCs w:val="20"/>
          <w:color w:val="auto"/>
        </w:rPr>
      </w:pPr>
    </w:p>
    <w:p>
      <w:pPr>
        <w:ind w:left="1180" w:hanging="259"/>
        <w:spacing w:after="0"/>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After-Tax Contributions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60" w:firstLine="881"/>
        <w:spacing w:after="0" w:line="268" w:lineRule="auto"/>
        <w:tabs>
          <w:tab w:leader="none" w:pos="155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Election</w:t>
      </w:r>
      <w:r>
        <w:rPr>
          <w:rFonts w:ascii="Times New Roman" w:cs="Times New Roman" w:eastAsia="Times New Roman" w:hAnsi="Times New Roman"/>
          <w:sz w:val="18"/>
          <w:szCs w:val="18"/>
          <w:color w:val="auto"/>
        </w:rPr>
        <w:t>. A Participant who has no currently effective election of Pre-Tax Contributions or who has a currently effective election of Pre-Tax Contributions equal to the Dollar Limit (but no more than 10% of his Regular Compensation may elect to make “After-Tax Contributions.” A Participant may, by filing the prescribed application form</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66" w:right="259" w:bottom="1440" w:gutter="0" w:footer="0" w:header="0"/>
        </w:sectPr>
      </w:pPr>
    </w:p>
    <w:bookmarkStart w:id="23" w:name="page24"/>
    <w:bookmarkEnd w:id="2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the Administrator, elect a rate of After-Tax Contributions of at least 2% (in whole percentages) of his Regular Compensation, of up to 10% and that when aggregated with the rate of his Pre-Tax Contributions cannot together total more than 20% of his Regular Compensation. Such election shall be made in the form and manner prescribed by the Administrator (including telephonically or electronically if so authorized by the Administrator), and shall be effective as soon as administratively feasible following the date such election form is received by the Administrator.</w:t>
      </w:r>
    </w:p>
    <w:p>
      <w:pPr>
        <w:spacing w:after="0" w:line="68" w:lineRule="exact"/>
        <w:rPr>
          <w:sz w:val="20"/>
          <w:szCs w:val="20"/>
          <w:color w:val="auto"/>
        </w:rPr>
      </w:pPr>
    </w:p>
    <w:p>
      <w:pPr>
        <w:ind w:right="240" w:firstLine="881"/>
        <w:spacing w:after="0" w:line="286" w:lineRule="auto"/>
        <w:tabs>
          <w:tab w:leader="none" w:pos="11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Discontinuance</w:t>
      </w:r>
      <w:r>
        <w:rPr>
          <w:rFonts w:ascii="Times New Roman" w:cs="Times New Roman" w:eastAsia="Times New Roman" w:hAnsi="Times New Roman"/>
          <w:sz w:val="18"/>
          <w:szCs w:val="18"/>
          <w:color w:val="auto"/>
        </w:rPr>
        <w:t>. A Participant may elect at any time in the form and manner prescribed by the Administrator the discontinuance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Pre-Tax Contributions, effective as soon as administratively feasible following the date such request is received by the Administrator.</w:t>
      </w:r>
    </w:p>
    <w:p>
      <w:pPr>
        <w:spacing w:after="0" w:line="46" w:lineRule="exact"/>
        <w:rPr>
          <w:rFonts w:ascii="Times New Roman" w:cs="Times New Roman" w:eastAsia="Times New Roman" w:hAnsi="Times New Roman"/>
          <w:sz w:val="18"/>
          <w:szCs w:val="18"/>
          <w:color w:val="auto"/>
        </w:rPr>
      </w:pPr>
    </w:p>
    <w:p>
      <w:pPr>
        <w:ind w:firstLine="881"/>
        <w:spacing w:after="0" w:line="262" w:lineRule="auto"/>
        <w:tabs>
          <w:tab w:leader="none" w:pos="119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Changing the Rate of After-Tax Contributions</w:t>
      </w:r>
      <w:r>
        <w:rPr>
          <w:rFonts w:ascii="Times New Roman" w:cs="Times New Roman" w:eastAsia="Times New Roman" w:hAnsi="Times New Roman"/>
          <w:sz w:val="18"/>
          <w:szCs w:val="18"/>
          <w:color w:val="auto"/>
        </w:rPr>
        <w:t>. A Participant may at any time elect to change her rate of After-Tax Contributions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rate available to her under Subsection 3(g)(i) above. Any election under this Subsection 3(g)(iii) shall be made in the form and manner prescribed by the Administrator (including telephonically or electronically, if so authorized by the Administrator), and shall be effective as soon as administratively feasible following the date the change is received by the Administrator.</w:t>
      </w:r>
    </w:p>
    <w:p>
      <w:pPr>
        <w:spacing w:after="0" w:line="68" w:lineRule="exact"/>
        <w:rPr>
          <w:rFonts w:ascii="Times New Roman" w:cs="Times New Roman" w:eastAsia="Times New Roman" w:hAnsi="Times New Roman"/>
          <w:sz w:val="18"/>
          <w:szCs w:val="18"/>
          <w:color w:val="auto"/>
        </w:rPr>
      </w:pPr>
    </w:p>
    <w:p>
      <w:pPr>
        <w:ind w:right="100" w:firstLine="881"/>
        <w:spacing w:after="0" w:line="259" w:lineRule="auto"/>
        <w:tabs>
          <w:tab w:leader="none" w:pos="118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Payroll Deductions</w:t>
      </w:r>
      <w:r>
        <w:rPr>
          <w:rFonts w:ascii="Times New Roman" w:cs="Times New Roman" w:eastAsia="Times New Roman" w:hAnsi="Times New Roman"/>
          <w:sz w:val="18"/>
          <w:szCs w:val="18"/>
          <w:color w:val="auto"/>
        </w:rPr>
        <w:t>. After-Tax Contributions shall be made only through periodic payroll deductions, unless the Company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delegate consents to another method of payment. All After-Tax Contributions withheld during a calendar month shall be paid to the Trustee as of the earliest date on which such contributions can reasonably be segregated from the Company’s general assets but not later than the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business day of the month following the month in which the amounts would have been paid to the Participant but for the Participant’s election pursuant to Subsection 3(g)(1). The provisions of United States Department of Labor Regulations Section 2510.3-102 are incorporated herein by reference.</w:t>
      </w:r>
    </w:p>
    <w:p>
      <w:pPr>
        <w:spacing w:after="0" w:line="1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60"/>
          </w:cols>
          <w:pgMar w:left="700" w:top="270" w:right="339" w:bottom="1440" w:gutter="0" w:footer="0" w:header="0"/>
        </w:sectPr>
      </w:pPr>
    </w:p>
    <w:bookmarkStart w:id="24" w:name="page25"/>
    <w:bookmarkEnd w:id="24"/>
    <w:p>
      <w:pPr>
        <w:jc w:val="both"/>
        <w:ind w:firstLine="881"/>
        <w:spacing w:after="0" w:line="268" w:lineRule="auto"/>
        <w:tabs>
          <w:tab w:leader="none" w:pos="11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of After-Tax Contributions</w:t>
      </w:r>
      <w:r>
        <w:rPr>
          <w:rFonts w:ascii="Times New Roman" w:cs="Times New Roman" w:eastAsia="Times New Roman" w:hAnsi="Times New Roman"/>
          <w:sz w:val="18"/>
          <w:szCs w:val="18"/>
          <w:color w:val="auto"/>
        </w:rPr>
        <w:t>. A Participant’s After-Tax Contributions shall be invested in the same manner as his Pre-Tax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Contributions (if any) as elected under Subsection 3(d). If the Participant has no currently effective election of Pre-Tax Contributions, he may elect to invest his After-Tax Contributions in the manner provided in Section 3(d).</w:t>
      </w:r>
    </w:p>
    <w:p>
      <w:pPr>
        <w:spacing w:after="0" w:line="10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00"/>
          </w:cols>
          <w:pgMar w:left="700" w:top="266" w:right="399"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 </w:t>
      </w:r>
      <w:r>
        <w:rPr>
          <w:rFonts w:ascii="Times New Roman" w:cs="Times New Roman" w:eastAsia="Times New Roman" w:hAnsi="Times New Roman"/>
          <w:sz w:val="18"/>
          <w:szCs w:val="18"/>
          <w:b w:val="1"/>
          <w:bCs w:val="1"/>
          <w:u w:val="single" w:color="auto"/>
          <w:color w:val="auto"/>
        </w:rPr>
        <w:t>COMPANY CONTRIBUTIONS.</w:t>
      </w:r>
    </w:p>
    <w:p>
      <w:pPr>
        <w:spacing w:after="0" w:line="117" w:lineRule="exact"/>
        <w:rPr>
          <w:sz w:val="20"/>
          <w:szCs w:val="20"/>
          <w:color w:val="auto"/>
        </w:rPr>
      </w:pPr>
    </w:p>
    <w:p>
      <w:pPr>
        <w:ind w:right="360" w:firstLine="921"/>
        <w:spacing w:after="0" w:line="259" w:lineRule="auto"/>
        <w:tabs>
          <w:tab w:leader="none" w:pos="115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Company Contributions</w:t>
      </w:r>
      <w:r>
        <w:rPr>
          <w:rFonts w:ascii="Times New Roman" w:cs="Times New Roman" w:eastAsia="Times New Roman" w:hAnsi="Times New Roman"/>
          <w:sz w:val="18"/>
          <w:szCs w:val="18"/>
          <w:color w:val="auto"/>
        </w:rPr>
        <w:t>. For each contribution period as defined in Subsection (b) below, the Company shall make a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 equal to: (i) the applicable percentage of all Basic Contributions made for such contribution period invested in the Stock Fund, plus (ii) the applicable percentage of all Basic Contributions made for such contribution period invested in each Investment Fund other than in the Stock Fund, less</w:t>
      </w:r>
    </w:p>
    <w:p>
      <w:pPr>
        <w:ind w:right="600" w:firstLine="8"/>
        <w:spacing w:after="0" w:line="290" w:lineRule="auto"/>
        <w:tabs>
          <w:tab w:leader="none" w:pos="31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Forfeitures credited against the Company Contribution for that contribution period. No Company Contributions will be made with respect to Supplemental Contributions. The Administrator shall determine the applicable percentages for any Plan Year prior to the beginning of such Plan Year.</w:t>
      </w:r>
    </w:p>
    <w:p>
      <w:pPr>
        <w:spacing w:after="0" w:line="158" w:lineRule="exact"/>
        <w:rPr>
          <w:sz w:val="20"/>
          <w:szCs w:val="20"/>
          <w:color w:val="auto"/>
        </w:rPr>
      </w:pPr>
    </w:p>
    <w:p>
      <w:pPr>
        <w:ind w:right="400" w:firstLine="1484"/>
        <w:spacing w:after="0" w:line="282" w:lineRule="auto"/>
        <w:rPr>
          <w:sz w:val="20"/>
          <w:szCs w:val="20"/>
          <w:color w:val="auto"/>
        </w:rPr>
      </w:pPr>
      <w:r>
        <w:rPr>
          <w:rFonts w:ascii="Times New Roman" w:cs="Times New Roman" w:eastAsia="Times New Roman" w:hAnsi="Times New Roman"/>
          <w:sz w:val="18"/>
          <w:szCs w:val="18"/>
          <w:color w:val="auto"/>
        </w:rPr>
        <w:t>It is currently anticipated that the applicable percentage will be different for Basic Contributions invested in the Stock Fund than for Basic Contributions invested in Other Investment Funds.</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The Company shall communicate the rate of Company Contributions as part of the first general communication to participants after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is determined.</w:t>
      </w:r>
    </w:p>
    <w:p>
      <w:pPr>
        <w:spacing w:after="0" w:line="95" w:lineRule="exact"/>
        <w:rPr>
          <w:sz w:val="20"/>
          <w:szCs w:val="20"/>
          <w:color w:val="auto"/>
        </w:rPr>
      </w:pPr>
    </w:p>
    <w:p>
      <w:pPr>
        <w:ind w:firstLine="921"/>
        <w:spacing w:after="0" w:line="275" w:lineRule="auto"/>
        <w:tabs>
          <w:tab w:leader="none" w:pos="116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Allocation of Company Contributions</w:t>
      </w:r>
      <w:r>
        <w:rPr>
          <w:rFonts w:ascii="Times New Roman" w:cs="Times New Roman" w:eastAsia="Times New Roman" w:hAnsi="Times New Roman"/>
          <w:sz w:val="17"/>
          <w:szCs w:val="17"/>
          <w:color w:val="auto"/>
        </w:rPr>
        <w:t>. The Company Contribution for any contribution period shall be paid to the Trustee as soon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practicable, (but no later than the due date (including extensions) of the Company’s income tax return for the fiscal year of the Company ending with or within the Plan Year). The Company Contribution shall be apportioned among the Company Contributions Accounts of all Participants who elected any Basic Contributions for such contribution period by multiplying the Participant’s Basic Contributions for such contribution period by the applicable percentages determined for the Participant, as described above. All Company Contributions and Forfeitures allocated to Company Contributions Accounts shall be invested in the Stock Fund, and shall be subject to the restrictions detailed in Section 13(c)(iii) hereof. The contribution period is each calendar month.</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66" w:right="259" w:bottom="1440" w:gutter="0" w:footer="0" w:header="0"/>
        </w:sectPr>
      </w:pPr>
    </w:p>
    <w:bookmarkStart w:id="26" w:name="page27"/>
    <w:bookmarkEnd w:id="26"/>
    <w:p>
      <w:pPr>
        <w:ind w:left="45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 </w:t>
      </w:r>
      <w:r>
        <w:rPr>
          <w:rFonts w:ascii="Times New Roman" w:cs="Times New Roman" w:eastAsia="Times New Roman" w:hAnsi="Times New Roman"/>
          <w:sz w:val="18"/>
          <w:szCs w:val="18"/>
          <w:b w:val="1"/>
          <w:bCs w:val="1"/>
          <w:u w:val="single" w:color="auto"/>
          <w:color w:val="auto"/>
        </w:rPr>
        <w:t>WITHDRAWALS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8" w:right="520" w:firstLine="921"/>
        <w:spacing w:after="0" w:line="286" w:lineRule="auto"/>
        <w:tabs>
          <w:tab w:leader="none" w:pos="114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Withdrawals from After-Tax Contributions</w:t>
      </w:r>
      <w:r>
        <w:rPr>
          <w:rFonts w:ascii="Times New Roman" w:cs="Times New Roman" w:eastAsia="Times New Roman" w:hAnsi="Times New Roman"/>
          <w:sz w:val="18"/>
          <w:szCs w:val="18"/>
          <w:color w:val="auto"/>
        </w:rPr>
        <w:t>. Any Participant may withdraw for any reason all or part of the balance of her After-Tax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Contributions Account.</w:t>
      </w:r>
    </w:p>
    <w:p>
      <w:pPr>
        <w:spacing w:after="0" w:line="46" w:lineRule="exact"/>
        <w:rPr>
          <w:rFonts w:ascii="Times New Roman" w:cs="Times New Roman" w:eastAsia="Times New Roman" w:hAnsi="Times New Roman"/>
          <w:sz w:val="18"/>
          <w:szCs w:val="18"/>
          <w:color w:val="auto"/>
        </w:rPr>
      </w:pPr>
    </w:p>
    <w:p>
      <w:pPr>
        <w:ind w:left="-8" w:right="60" w:firstLine="921"/>
        <w:spacing w:after="0" w:line="270" w:lineRule="auto"/>
        <w:tabs>
          <w:tab w:leader="none" w:pos="116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Hardship Withdrawals</w:t>
      </w:r>
      <w:r>
        <w:rPr>
          <w:rFonts w:ascii="Times New Roman" w:cs="Times New Roman" w:eastAsia="Times New Roman" w:hAnsi="Times New Roman"/>
          <w:sz w:val="17"/>
          <w:szCs w:val="17"/>
          <w:color w:val="auto"/>
        </w:rPr>
        <w:t>. A Participant who encounters a “Financial Hardship,” resulting in an immediate and heavy financial need, may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withdraw an amount necessary to satisfy that need, including, all or part of his aggregate Pre-Tax Contributions (excluding any earnings attributable to such account) not previously withdrawn, but not more than the current value of those contributions at the time the withdrawal is paid. The Administrator shall determine whether an event constitutes a Financial Hardship. Subject to the review procedure described in Section 10, such determination shall be conclusive and binding on all persons. The following expenditures will be conclusively considered to be made on account of immediate and heavy financial need:</w:t>
      </w:r>
    </w:p>
    <w:p>
      <w:pPr>
        <w:spacing w:after="0" w:line="3" w:lineRule="exact"/>
        <w:rPr>
          <w:rFonts w:ascii="Times New Roman" w:cs="Times New Roman" w:eastAsia="Times New Roman" w:hAnsi="Times New Roman"/>
          <w:sz w:val="17"/>
          <w:szCs w:val="17"/>
          <w:color w:val="auto"/>
        </w:rPr>
      </w:pPr>
    </w:p>
    <w:p>
      <w:pPr>
        <w:ind w:left="212" w:hanging="212"/>
        <w:spacing w:after="0"/>
        <w:tabs>
          <w:tab w:leader="none" w:pos="21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medical expenses described in Section 1023(aa)(2)(p) of the Code incurred by the Participant, the Participant’s spouse, or any dependent of the Participant;</w:t>
      </w:r>
    </w:p>
    <w:p>
      <w:pPr>
        <w:spacing w:after="0" w:line="20" w:lineRule="exact"/>
        <w:rPr>
          <w:rFonts w:ascii="Times New Roman" w:cs="Times New Roman" w:eastAsia="Times New Roman" w:hAnsi="Times New Roman"/>
          <w:sz w:val="17"/>
          <w:szCs w:val="17"/>
          <w:color w:val="auto"/>
        </w:rPr>
      </w:pPr>
    </w:p>
    <w:p>
      <w:pPr>
        <w:ind w:left="-8" w:right="20" w:firstLine="8"/>
        <w:spacing w:after="0" w:line="250" w:lineRule="auto"/>
        <w:tabs>
          <w:tab w:leader="none" w:pos="2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(excluding mortgage payments) of a principal residence for the Participant; (iii) payment of tuition for the next twelve months of post-secondary education for the Participant, or the Participant’s spouse, children, or dependents; (iv) expenditures to prevent the eviction of the Participant from the Participant’s principal residence or foreclosure on the mortgage of the Participant’s principal residence; and (v) expenses incurred for the funeral of a member of the Participant’s immediate family. In determining whether a withdrawal is necessary to satisfy a financial need, the Administrator may reasonably rely upon the Participant’s representation that the need cannot be met by insurance, reasonable liquidation of assets (not itself creating a hardship) or, cessation of Pre-Tax Contributions and After-Tax Contributions.</w:t>
      </w:r>
    </w:p>
    <w:p>
      <w:pPr>
        <w:spacing w:after="0" w:line="2" w:lineRule="exact"/>
        <w:rPr>
          <w:rFonts w:ascii="Times New Roman" w:cs="Times New Roman" w:eastAsia="Times New Roman" w:hAnsi="Times New Roman"/>
          <w:sz w:val="18"/>
          <w:szCs w:val="18"/>
          <w:color w:val="auto"/>
        </w:rPr>
      </w:pPr>
    </w:p>
    <w:p>
      <w:pPr>
        <w:ind w:left="-8" w:firstLine="921"/>
        <w:spacing w:after="0" w:line="242" w:lineRule="auto"/>
        <w:tabs>
          <w:tab w:leader="none" w:pos="114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Age 59-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30"/>
          <w:szCs w:val="30"/>
          <w:b w:val="1"/>
          <w:bCs w:val="1"/>
          <w:color w:val="auto"/>
          <w:vertAlign w:val="superscript"/>
        </w:rPr>
        <w:t>1</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30"/>
          <w:szCs w:val="30"/>
          <w:b w:val="1"/>
          <w:bCs w:val="1"/>
          <w:u w:val="single" w:color="auto"/>
          <w:color w:val="auto"/>
          <w:vertAlign w:val="sub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Withdrawals</w:t>
      </w:r>
      <w:r>
        <w:rPr>
          <w:rFonts w:ascii="Times New Roman" w:cs="Times New Roman" w:eastAsia="Times New Roman" w:hAnsi="Times New Roman"/>
          <w:sz w:val="18"/>
          <w:szCs w:val="18"/>
          <w:color w:val="auto"/>
        </w:rPr>
        <w:t>. A Participant who has attained age 59-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withdraw for any reason his entire After-Tax Contributions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his entire Pre-Tax Contributions Account, and his entire Company Contributions Account. Except as provided in Subsection (h) below, upon such a withdrawal the Participant will not incur any suspension of Active Participation and will continue to have the right to elect to make contributions to the Plan in the same manner he had prior to the withdrawal.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-454660</wp:posOffset>
            </wp:positionV>
            <wp:extent cx="711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20" cy="8890"/>
                    </a:xfrm>
                    <a:prstGeom prst="rect">
                      <a:avLst/>
                    </a:prstGeom>
                    <a:noFill/>
                  </pic:spPr>
                </pic:pic>
              </a:graphicData>
            </a:graphic>
          </wp:anchor>
        </w:drawing>
      </w:r>
    </w:p>
    <w:p>
      <w:pPr>
        <w:spacing w:after="0" w:line="10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92"/>
          </w:cols>
          <w:pgMar w:left="248" w:top="266" w:right="259" w:bottom="1440" w:gutter="0" w:footer="0" w:header="0"/>
        </w:sectPr>
      </w:pPr>
    </w:p>
    <w:bookmarkStart w:id="27" w:name="page28"/>
    <w:bookmarkEnd w:id="27"/>
    <w:p>
      <w:pPr>
        <w:ind w:left="-80" w:right="280" w:firstLine="921"/>
        <w:spacing w:after="0" w:line="268" w:lineRule="auto"/>
        <w:tabs>
          <w:tab w:leader="none" w:pos="10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Election and Payment of Withdrawals</w:t>
      </w:r>
      <w:r>
        <w:rPr>
          <w:rFonts w:ascii="Times New Roman" w:cs="Times New Roman" w:eastAsia="Times New Roman" w:hAnsi="Times New Roman"/>
          <w:sz w:val="18"/>
          <w:szCs w:val="18"/>
          <w:color w:val="auto"/>
        </w:rPr>
        <w:t>. A request to make a withdrawal, and any election of a source of payment under Subsection 5(e)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shall be filed with the Administrator in the prescribed manner which may include telephonic or electronic procedures. A withdrawal request is effective as soon as administratively feasible after the Participant’s election has been received by the Administrator.</w:t>
      </w:r>
    </w:p>
    <w:p>
      <w:pPr>
        <w:spacing w:after="0" w:line="62" w:lineRule="exact"/>
        <w:rPr>
          <w:rFonts w:ascii="Times New Roman" w:cs="Times New Roman" w:eastAsia="Times New Roman" w:hAnsi="Times New Roman"/>
          <w:sz w:val="18"/>
          <w:szCs w:val="18"/>
          <w:color w:val="auto"/>
        </w:rPr>
      </w:pPr>
    </w:p>
    <w:p>
      <w:pPr>
        <w:jc w:val="both"/>
        <w:ind w:left="-80" w:right="20" w:firstLine="921"/>
        <w:spacing w:after="0" w:line="262" w:lineRule="auto"/>
        <w:tabs>
          <w:tab w:leader="none" w:pos="107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Source of Payment</w:t>
      </w:r>
      <w:r>
        <w:rPr>
          <w:rFonts w:ascii="Times New Roman" w:cs="Times New Roman" w:eastAsia="Times New Roman" w:hAnsi="Times New Roman"/>
          <w:sz w:val="18"/>
          <w:szCs w:val="18"/>
          <w:color w:val="auto"/>
        </w:rPr>
        <w:t>. A Participant who, under Subsection 5(a), withdraws less than the entire value of his After-Tax Contributions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who has interests in more than one Investment Fund may specify whether such withdrawal shall be entirely from one fund or from more than one fund in specified parts. The withdrawal from such Account shall not exceed the Participant’s aggregate After-Tax Contributions placed in such Account and not previously withdrawn.</w:t>
      </w:r>
    </w:p>
    <w:p>
      <w:pPr>
        <w:spacing w:after="0" w:line="68" w:lineRule="exact"/>
        <w:rPr>
          <w:rFonts w:ascii="Times New Roman" w:cs="Times New Roman" w:eastAsia="Times New Roman" w:hAnsi="Times New Roman"/>
          <w:sz w:val="18"/>
          <w:szCs w:val="18"/>
          <w:color w:val="auto"/>
        </w:rPr>
      </w:pPr>
    </w:p>
    <w:p>
      <w:pPr>
        <w:ind w:left="-80" w:firstLine="921"/>
        <w:spacing w:after="0" w:line="268" w:lineRule="auto"/>
        <w:tabs>
          <w:tab w:leader="none" w:pos="105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of Payment and Valuation Date</w:t>
      </w:r>
      <w:r>
        <w:rPr>
          <w:rFonts w:ascii="Times New Roman" w:cs="Times New Roman" w:eastAsia="Times New Roman" w:hAnsi="Times New Roman"/>
          <w:sz w:val="18"/>
          <w:szCs w:val="18"/>
          <w:color w:val="auto"/>
        </w:rPr>
        <w:t>. All withdrawals shall be paid in cash or in shares of stock, as elected by the Participant.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interest in the Investment Fund shall be valued as of the Valuation Date in the month in which such withdrawal request is effective, as defined in Subsection 5(d).</w:t>
      </w:r>
    </w:p>
    <w:p>
      <w:pPr>
        <w:spacing w:after="0" w:line="62" w:lineRule="exact"/>
        <w:rPr>
          <w:rFonts w:ascii="Times New Roman" w:cs="Times New Roman" w:eastAsia="Times New Roman" w:hAnsi="Times New Roman"/>
          <w:sz w:val="18"/>
          <w:szCs w:val="18"/>
          <w:color w:val="auto"/>
        </w:rPr>
      </w:pPr>
    </w:p>
    <w:p>
      <w:pPr>
        <w:ind w:left="-80" w:right="60" w:firstLine="921"/>
        <w:spacing w:after="0" w:line="286" w:lineRule="auto"/>
        <w:tabs>
          <w:tab w:leader="none" w:pos="10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Limitation on Withdrawals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hardship withdrawal shall be in an amount less than $500. No Participant may make a withdrawal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terminated pursuant to Section 15, and no Participant who has notice that the Plan will be so terminated may make a withdrawal.</w:t>
      </w:r>
    </w:p>
    <w:p>
      <w:pPr>
        <w:spacing w:after="0" w:line="46" w:lineRule="exact"/>
        <w:rPr>
          <w:rFonts w:ascii="Times New Roman" w:cs="Times New Roman" w:eastAsia="Times New Roman" w:hAnsi="Times New Roman"/>
          <w:sz w:val="18"/>
          <w:szCs w:val="18"/>
          <w:color w:val="auto"/>
        </w:rPr>
      </w:pPr>
    </w:p>
    <w:p>
      <w:pPr>
        <w:ind w:left="-80" w:right="100" w:firstLine="921"/>
        <w:spacing w:after="0" w:line="268" w:lineRule="auto"/>
        <w:tabs>
          <w:tab w:leader="none" w:pos="10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Suspension for Withdrawal</w:t>
      </w:r>
      <w:r>
        <w:rPr>
          <w:rFonts w:ascii="Times New Roman" w:cs="Times New Roman" w:eastAsia="Times New Roman" w:hAnsi="Times New Roman"/>
          <w:sz w:val="18"/>
          <w:szCs w:val="18"/>
          <w:color w:val="auto"/>
        </w:rPr>
        <w:t>. The Active Participation of any Participant who makes a withdrawal from her Pre-Tax Contributions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Plan shall be suspended for twelve months. A Participant whose Active Participation has been so suspended may resume Active Participation as soon as administratively feasible after the Participant elects reinstatement in the manner prescribed by the Administrator.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80"/>
          </w:cols>
          <w:pgMar w:left="320" w:top="266" w:right="299" w:bottom="1440" w:gutter="0" w:footer="0" w:header="0"/>
        </w:sectPr>
      </w:pPr>
    </w:p>
    <w:bookmarkStart w:id="28" w:name="page29"/>
    <w:bookmarkEnd w:id="28"/>
    <w:p>
      <w:pPr>
        <w:ind w:left="-120" w:firstLine="921"/>
        <w:spacing w:after="0" w:line="262" w:lineRule="auto"/>
        <w:tabs>
          <w:tab w:leader="none" w:pos="10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 Rollover Option</w:t>
      </w:r>
      <w:r>
        <w:rPr>
          <w:rFonts w:ascii="Times New Roman" w:cs="Times New Roman" w:eastAsia="Times New Roman" w:hAnsi="Times New Roman"/>
          <w:sz w:val="18"/>
          <w:szCs w:val="18"/>
          <w:color w:val="auto"/>
        </w:rPr>
        <w:t>. Notwithstanding any provision of the Plan to the contrary that would otherwise limit a Participant’s election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Subsection 5(i), a Participant, may elect, at the time and manner prescribed by the Administrator, to have his total Plan Benefits paid directly to a retirement plan which is qualified under Section 1165(a) of the Code that accepts the Participant’s rollover or into an individual retirement account described in Code Section 1169(a).</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80"/>
          </w:cols>
          <w:pgMar w:left="360" w:top="266" w:right="359" w:bottom="1440" w:gutter="0" w:footer="0" w:header="0"/>
        </w:sectPr>
      </w:pPr>
    </w:p>
    <w:bookmarkStart w:id="29" w:name="page30"/>
    <w:bookmarkEnd w:id="29"/>
    <w:p>
      <w:pPr>
        <w:ind w:left="45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 </w:t>
      </w:r>
      <w:r>
        <w:rPr>
          <w:rFonts w:ascii="Times New Roman" w:cs="Times New Roman" w:eastAsia="Times New Roman" w:hAnsi="Times New Roman"/>
          <w:sz w:val="18"/>
          <w:szCs w:val="18"/>
          <w:b w:val="1"/>
          <w:bCs w:val="1"/>
          <w:u w:val="single" w:color="auto"/>
          <w:color w:val="auto"/>
        </w:rPr>
        <w:t>LOANS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8" w:right="20" w:firstLine="921"/>
        <w:spacing w:after="0" w:line="270" w:lineRule="auto"/>
        <w:tabs>
          <w:tab w:leader="none" w:pos="1149"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Terms of Loans</w:t>
      </w:r>
      <w:r>
        <w:rPr>
          <w:rFonts w:ascii="Times New Roman" w:cs="Times New Roman" w:eastAsia="Times New Roman" w:hAnsi="Times New Roman"/>
          <w:sz w:val="17"/>
          <w:szCs w:val="17"/>
          <w:color w:val="auto"/>
        </w:rPr>
        <w:t>. Any Participant or Beneficiary may borrow from the Plan as provided in this Section 6. (References to Participants in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 shall include Beneficiaries). Loans shall not be made available to Highly Compensated Employees in an amount greater than the amount made available to other employees. The minimum amount that may be borrowed is $1,000. The maximum amount that may be borrowed is the lesser of (i) $50,000 (reduced by the highest outstanding loan balance of that Participant for the prior 12 months) and (ii) 50 per cent of the Participant’s vested Plan Benefit. The period of repayment for any loan shall be no longer than five (5) years. A Participant may prepay a loan in a lump sum on any date more than three</w:t>
      </w:r>
    </w:p>
    <w:p>
      <w:pPr>
        <w:spacing w:after="0" w:line="3" w:lineRule="exact"/>
        <w:rPr>
          <w:rFonts w:ascii="Times New Roman" w:cs="Times New Roman" w:eastAsia="Times New Roman" w:hAnsi="Times New Roman"/>
          <w:sz w:val="17"/>
          <w:szCs w:val="17"/>
          <w:color w:val="auto"/>
        </w:rPr>
      </w:pPr>
    </w:p>
    <w:p>
      <w:pPr>
        <w:ind w:left="-8" w:right="40" w:firstLine="8"/>
        <w:spacing w:after="0" w:line="252" w:lineRule="auto"/>
        <w:tabs>
          <w:tab w:leader="none" w:pos="24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the loan is made. Each loan shall be secured by the Participant’s Plan Benefit. For the purposes of determining the portion of a Participant’s Plan Benefit that is distributable by withdrawal or otherwise, and the portion of a Participant’s Accounts that are subject to the allocation of earnings, appreciation, or depreciation, the amount of a loan will be deducted from the Participant’s accounts in the following order: (i) the After-Tax Contributions Account (if any), (ii) the Pre-Tax Contributions Account, and (iii) the vested portion of the Company Contributions Account when the loan is made. A partial deduction to an account will be allocated according to the Participant’s then current investment election. Each loan shall bear interest at a reasonable rate of interest determined by the Committee or its delegate at the time the loan is made.</w:t>
      </w:r>
    </w:p>
    <w:p>
      <w:pPr>
        <w:spacing w:after="0" w:line="78" w:lineRule="exact"/>
        <w:rPr>
          <w:rFonts w:ascii="Times New Roman" w:cs="Times New Roman" w:eastAsia="Times New Roman" w:hAnsi="Times New Roman"/>
          <w:sz w:val="18"/>
          <w:szCs w:val="18"/>
          <w:color w:val="auto"/>
        </w:rPr>
      </w:pPr>
    </w:p>
    <w:p>
      <w:pPr>
        <w:jc w:val="both"/>
        <w:ind w:left="-8" w:right="140" w:firstLine="921"/>
        <w:spacing w:after="0" w:line="268" w:lineRule="auto"/>
        <w:tabs>
          <w:tab w:leader="none" w:pos="11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Limitations on Loans</w:t>
      </w:r>
      <w:r>
        <w:rPr>
          <w:rFonts w:ascii="Times New Roman" w:cs="Times New Roman" w:eastAsia="Times New Roman" w:hAnsi="Times New Roman"/>
          <w:sz w:val="18"/>
          <w:szCs w:val="18"/>
          <w:color w:val="auto"/>
        </w:rPr>
        <w:t>. No loan shall be made to a Participant who has more than two outstanding loans, who the Committee or its delegate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determines to have insufficient monthly net base pay to repay the loan or, in the discretion of the Committee, who has defaulted on a previous loan from the Plan.</w:t>
      </w:r>
    </w:p>
    <w:p>
      <w:pPr>
        <w:spacing w:after="0" w:line="62" w:lineRule="exact"/>
        <w:rPr>
          <w:rFonts w:ascii="Times New Roman" w:cs="Times New Roman" w:eastAsia="Times New Roman" w:hAnsi="Times New Roman"/>
          <w:sz w:val="18"/>
          <w:szCs w:val="18"/>
          <w:color w:val="auto"/>
        </w:rPr>
      </w:pPr>
    </w:p>
    <w:p>
      <w:pPr>
        <w:ind w:left="-8" w:firstLine="921"/>
        <w:spacing w:after="0" w:line="262" w:lineRule="auto"/>
        <w:tabs>
          <w:tab w:leader="none" w:pos="114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Loan Procedures</w:t>
      </w:r>
      <w:r>
        <w:rPr>
          <w:rFonts w:ascii="Times New Roman" w:cs="Times New Roman" w:eastAsia="Times New Roman" w:hAnsi="Times New Roman"/>
          <w:sz w:val="18"/>
          <w:szCs w:val="18"/>
          <w:color w:val="auto"/>
        </w:rPr>
        <w:t>. A Participant may apply for a loan in the form and manner prescribed by the Administrator. A borrowing Participant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required to sign a collateral promissory note secured by the Participant’s Plan Benefit and will receive a Federal Truth-In-Lending Disclosure Statement. A Participant’s accounts will be valued on the Valuation Date in which the loan is requested, and the loan will be disbursed as soon as practicable after that Valuation Date. All fees and expenses incurred in connection with a loan obligation of the Participant will be borne solely by the Participant’s Account.</w:t>
      </w:r>
    </w:p>
    <w:p>
      <w:pPr>
        <w:spacing w:after="0" w:line="11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72"/>
          </w:cols>
          <w:pgMar w:left="248" w:top="266" w:right="279" w:bottom="1440" w:gutter="0" w:footer="0" w:header="0"/>
        </w:sectPr>
      </w:pPr>
    </w:p>
    <w:bookmarkStart w:id="30" w:name="page31"/>
    <w:bookmarkEnd w:id="30"/>
    <w:p>
      <w:pPr>
        <w:ind w:left="-60" w:firstLine="921"/>
        <w:spacing w:after="0" w:line="254" w:lineRule="auto"/>
        <w:tabs>
          <w:tab w:leader="none" w:pos="110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Repayment of Loans</w:t>
      </w:r>
      <w:r>
        <w:rPr>
          <w:rFonts w:ascii="Times New Roman" w:cs="Times New Roman" w:eastAsia="Times New Roman" w:hAnsi="Times New Roman"/>
          <w:sz w:val="18"/>
          <w:szCs w:val="18"/>
          <w:color w:val="auto"/>
        </w:rPr>
        <w:t>. Each loan will be repaid through payroll deductions beginning with the first payroll period of the month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 in which the loan is disbursed. If a Participant’s employment is suspended such that the Participant is no longer receiving a paycheck, the Participant shall make substantially level monthly loan repayments directly to the Plan. A Participant’s loan repayments will, at his or her request, be suspended during the time he or she is absent as a result of qualifying military service (as determined under the United States Uniformed Services Employment and Reemployment Rights Act). Monthly loan payments of principal and interest will be credited to the accounts of a Participant from which deducted in reverse of the order provided in Subsection 6(a), but allocated among the Investment Funds according to the Participant’s investment election when the repayment is made. A lump sum payment will be credited among the Investment Funds in proportion to its original deduction from those funds. If a Participant’s employment terminates any outstanding loan balance must be repaid or the loan will be in default and the outstanding loan balance will be deducted from any distribution of the Participant’s Plan Benefit, resulting in a taxable distribution to the Participant. Notwithstanding the above, the Committee (or the delegate) may, in its sole discretion, allow terminated Participants to continue to repay loans under such uniform and nondiscriminatory rules as the Committee (or its delegate) determines, where the Participant has been terminated due to a transaction or a permanent reduction in force.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00"/>
          </w:cols>
          <w:pgMar w:left="300" w:top="266" w:right="299" w:bottom="1440" w:gutter="0" w:footer="0" w:header="0"/>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 </w:t>
      </w:r>
      <w:r>
        <w:rPr>
          <w:rFonts w:ascii="Times New Roman" w:cs="Times New Roman" w:eastAsia="Times New Roman" w:hAnsi="Times New Roman"/>
          <w:sz w:val="18"/>
          <w:szCs w:val="18"/>
          <w:b w:val="1"/>
          <w:bCs w:val="1"/>
          <w:u w:val="single" w:color="auto"/>
          <w:color w:val="auto"/>
        </w:rPr>
        <w:t>VESTING</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u w:val="single" w:color="auto"/>
          <w:color w:val="auto"/>
        </w:rPr>
        <w:t>Five-Year Vesting</w:t>
      </w:r>
      <w:r>
        <w:rPr>
          <w:rFonts w:ascii="Times New Roman" w:cs="Times New Roman" w:eastAsia="Times New Roman" w:hAnsi="Times New Roman"/>
          <w:sz w:val="18"/>
          <w:szCs w:val="18"/>
          <w:color w:val="auto"/>
        </w:rPr>
        <w:t>. A Participant shall become fully vested in his entire Company Contributions Account when he completes five Years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w:t>
      </w:r>
    </w:p>
    <w:p>
      <w:pPr>
        <w:spacing w:after="0" w:line="95" w:lineRule="exact"/>
        <w:rPr>
          <w:sz w:val="20"/>
          <w:szCs w:val="20"/>
          <w:color w:val="auto"/>
        </w:rPr>
      </w:pPr>
    </w:p>
    <w:p>
      <w:pPr>
        <w:ind w:firstLine="921"/>
        <w:spacing w:after="0" w:line="286" w:lineRule="auto"/>
        <w:tabs>
          <w:tab w:leader="none" w:pos="116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Graded Vesting</w:t>
      </w:r>
      <w:r>
        <w:rPr>
          <w:rFonts w:ascii="Times New Roman" w:cs="Times New Roman" w:eastAsia="Times New Roman" w:hAnsi="Times New Roman"/>
          <w:sz w:val="18"/>
          <w:szCs w:val="18"/>
          <w:color w:val="auto"/>
        </w:rPr>
        <w:t>. A Participant who is not fully vested under Subsection 7(a) shall become vested in his Company Contributions Account,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day following completion of a given Year of Service in accordance with the following schedule:</w:t>
      </w:r>
    </w:p>
    <w:p>
      <w:pPr>
        <w:spacing w:after="0" w:line="180" w:lineRule="exact"/>
        <w:rPr>
          <w:sz w:val="20"/>
          <w:szCs w:val="20"/>
          <w:color w:val="auto"/>
        </w:rPr>
      </w:pPr>
    </w:p>
    <w:tbl>
      <w:tblPr>
        <w:tblLayout w:type="fixed"/>
        <w:tblInd w:w="1840" w:type="dxa"/>
        <w:tblCellMar>
          <w:top w:w="0" w:type="dxa"/>
          <w:left w:w="0" w:type="dxa"/>
          <w:bottom w:w="0" w:type="dxa"/>
          <w:right w:w="0" w:type="dxa"/>
        </w:tblCellMar>
      </w:tblPr>
      <w:tr>
        <w:trPr>
          <w:trHeight w:val="162"/>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of Service</w:t>
            </w:r>
          </w:p>
        </w:tc>
        <w:tc>
          <w:tcPr>
            <w:tcW w:w="2540" w:type="dxa"/>
            <w:vAlign w:val="bottom"/>
            <w:vMerge w:val="restart"/>
          </w:tcPr>
          <w:p>
            <w:pPr>
              <w:spacing w:after="0"/>
              <w:rPr>
                <w:sz w:val="14"/>
                <w:szCs w:val="14"/>
                <w:color w:val="auto"/>
              </w:rPr>
            </w:pPr>
          </w:p>
        </w:tc>
        <w:tc>
          <w:tcPr>
            <w:tcW w:w="236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Company</w:t>
            </w:r>
          </w:p>
        </w:tc>
        <w:tc>
          <w:tcPr>
            <w:tcW w:w="0" w:type="dxa"/>
            <w:vAlign w:val="bottom"/>
          </w:tcPr>
          <w:p>
            <w:pPr>
              <w:spacing w:after="0"/>
              <w:rPr>
                <w:sz w:val="1"/>
                <w:szCs w:val="1"/>
                <w:color w:val="auto"/>
              </w:rPr>
            </w:pPr>
          </w:p>
        </w:tc>
      </w:tr>
      <w:tr>
        <w:trPr>
          <w:trHeight w:val="180"/>
        </w:trPr>
        <w:tc>
          <w:tcPr>
            <w:tcW w:w="1000" w:type="dxa"/>
            <w:vAlign w:val="bottom"/>
            <w:tcBorders>
              <w:bottom w:val="single" w:sz="8" w:color="auto"/>
            </w:tcBorders>
            <w:vMerge w:val="continue"/>
          </w:tcPr>
          <w:p>
            <w:pPr>
              <w:spacing w:after="0"/>
              <w:rPr>
                <w:sz w:val="15"/>
                <w:szCs w:val="15"/>
                <w:color w:val="auto"/>
              </w:rPr>
            </w:pPr>
          </w:p>
        </w:tc>
        <w:tc>
          <w:tcPr>
            <w:tcW w:w="2540" w:type="dxa"/>
            <w:vAlign w:val="bottom"/>
            <w:vMerge w:val="continue"/>
          </w:tcPr>
          <w:p>
            <w:pPr>
              <w:spacing w:after="0"/>
              <w:rPr>
                <w:sz w:val="15"/>
                <w:szCs w:val="15"/>
                <w:color w:val="auto"/>
              </w:rPr>
            </w:pPr>
          </w:p>
        </w:tc>
        <w:tc>
          <w:tcPr>
            <w:tcW w:w="4220" w:type="dxa"/>
            <w:vAlign w:val="bottom"/>
            <w:gridSpan w:val="2"/>
          </w:tcPr>
          <w:p>
            <w:pPr>
              <w:jc w:val="center"/>
              <w:ind w:left="2254"/>
              <w:spacing w:after="0" w:line="160" w:lineRule="exact"/>
              <w:rPr>
                <w:sz w:val="20"/>
                <w:szCs w:val="20"/>
                <w:color w:val="auto"/>
              </w:rPr>
            </w:pPr>
            <w:r>
              <w:rPr>
                <w:rFonts w:ascii="Times New Roman" w:cs="Times New Roman" w:eastAsia="Times New Roman" w:hAnsi="Times New Roman"/>
                <w:sz w:val="14"/>
                <w:szCs w:val="14"/>
                <w:b w:val="1"/>
                <w:bCs w:val="1"/>
                <w:color w:val="auto"/>
              </w:rPr>
              <w:t>Contributions Account Vested</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Less than 2</w:t>
            </w:r>
          </w:p>
        </w:tc>
        <w:tc>
          <w:tcPr>
            <w:tcW w:w="236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but less than 3</w:t>
            </w:r>
          </w:p>
        </w:tc>
        <w:tc>
          <w:tcPr>
            <w:tcW w:w="4220" w:type="dxa"/>
            <w:vAlign w:val="bottom"/>
            <w:gridSpan w:val="2"/>
          </w:tcPr>
          <w:p>
            <w:pPr>
              <w:jc w:val="center"/>
              <w:ind w:left="2254"/>
              <w:spacing w:after="0"/>
              <w:rPr>
                <w:sz w:val="20"/>
                <w:szCs w:val="20"/>
                <w:color w:val="auto"/>
              </w:rPr>
            </w:pPr>
            <w:r>
              <w:rPr>
                <w:rFonts w:ascii="Times New Roman" w:cs="Times New Roman" w:eastAsia="Times New Roman" w:hAnsi="Times New Roman"/>
                <w:sz w:val="18"/>
                <w:szCs w:val="18"/>
                <w:color w:val="auto"/>
                <w:w w:val="96"/>
              </w:rPr>
              <w:t>20%</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 but less than 4</w:t>
            </w:r>
          </w:p>
        </w:tc>
        <w:tc>
          <w:tcPr>
            <w:tcW w:w="4220" w:type="dxa"/>
            <w:vAlign w:val="bottom"/>
            <w:gridSpan w:val="2"/>
            <w:shd w:val="clear" w:color="auto" w:fill="CCEEFF"/>
          </w:tcPr>
          <w:p>
            <w:pPr>
              <w:jc w:val="center"/>
              <w:ind w:left="2254"/>
              <w:spacing w:after="0"/>
              <w:rPr>
                <w:sz w:val="20"/>
                <w:szCs w:val="20"/>
                <w:color w:val="auto"/>
              </w:rPr>
            </w:pPr>
            <w:r>
              <w:rPr>
                <w:rFonts w:ascii="Times New Roman" w:cs="Times New Roman" w:eastAsia="Times New Roman" w:hAnsi="Times New Roman"/>
                <w:sz w:val="18"/>
                <w:szCs w:val="18"/>
                <w:color w:val="auto"/>
                <w:w w:val="96"/>
              </w:rPr>
              <w:t>40%</w:t>
            </w:r>
          </w:p>
        </w:tc>
        <w:tc>
          <w:tcPr>
            <w:tcW w:w="0" w:type="dxa"/>
            <w:vAlign w:val="bottom"/>
          </w:tcPr>
          <w:p>
            <w:pPr>
              <w:spacing w:after="0"/>
              <w:rPr>
                <w:sz w:val="1"/>
                <w:szCs w:val="1"/>
                <w:color w:val="auto"/>
              </w:rPr>
            </w:pPr>
          </w:p>
        </w:tc>
      </w:tr>
      <w:tr>
        <w:trPr>
          <w:trHeight w:val="23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 but less than 5</w:t>
            </w:r>
          </w:p>
        </w:tc>
        <w:tc>
          <w:tcPr>
            <w:tcW w:w="4220" w:type="dxa"/>
            <w:vAlign w:val="bottom"/>
            <w:gridSpan w:val="2"/>
          </w:tcPr>
          <w:p>
            <w:pPr>
              <w:jc w:val="center"/>
              <w:ind w:left="2254"/>
              <w:spacing w:after="0"/>
              <w:rPr>
                <w:sz w:val="20"/>
                <w:szCs w:val="20"/>
                <w:color w:val="auto"/>
              </w:rPr>
            </w:pPr>
            <w:r>
              <w:rPr>
                <w:rFonts w:ascii="Times New Roman" w:cs="Times New Roman" w:eastAsia="Times New Roman" w:hAnsi="Times New Roman"/>
                <w:sz w:val="18"/>
                <w:szCs w:val="18"/>
                <w:color w:val="auto"/>
                <w:w w:val="96"/>
              </w:rPr>
              <w:t>60%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540" w:firstLine="921"/>
        <w:spacing w:after="0" w:line="286" w:lineRule="auto"/>
        <w:tabs>
          <w:tab w:leader="none" w:pos="115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Full Vesting</w:t>
      </w:r>
      <w:r>
        <w:rPr>
          <w:rFonts w:ascii="Times New Roman" w:cs="Times New Roman" w:eastAsia="Times New Roman" w:hAnsi="Times New Roman"/>
          <w:sz w:val="18"/>
          <w:szCs w:val="18"/>
          <w:color w:val="auto"/>
        </w:rPr>
        <w:t>. Notwithstanding Subsections 7(a) and (b) above, a Participant shall become vested in his entire Company Contributions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if one of the following events occurs:</w:t>
      </w:r>
    </w:p>
    <w:p>
      <w:pPr>
        <w:spacing w:after="0" w:line="50"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attains age 55 while employed by the Company or one of its Affiliates;</w:t>
      </w:r>
    </w:p>
    <w:p>
      <w:pPr>
        <w:spacing w:after="0" w:line="117" w:lineRule="exact"/>
        <w:rPr>
          <w:rFonts w:ascii="Times New Roman" w:cs="Times New Roman" w:eastAsia="Times New Roman" w:hAnsi="Times New Roman"/>
          <w:sz w:val="18"/>
          <w:szCs w:val="18"/>
          <w:color w:val="auto"/>
        </w:rPr>
      </w:pPr>
    </w:p>
    <w:p>
      <w:pPr>
        <w:ind w:left="460" w:right="20" w:firstLine="881"/>
        <w:spacing w:after="0" w:line="282" w:lineRule="auto"/>
        <w:tabs>
          <w:tab w:leader="none" w:pos="160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becomes permanently and totally disabled as determined by FMC on the basis of competent medical evidence. Subject to the review procedure described in Section 11, such determination shall be conclusive and binding upon all persons;</w:t>
      </w:r>
    </w:p>
    <w:p>
      <w:pPr>
        <w:spacing w:after="0" w:line="53" w:lineRule="exact"/>
        <w:rPr>
          <w:rFonts w:ascii="Times New Roman" w:cs="Times New Roman" w:eastAsia="Times New Roman" w:hAnsi="Times New Roman"/>
          <w:sz w:val="18"/>
          <w:szCs w:val="18"/>
          <w:color w:val="auto"/>
        </w:rPr>
      </w:pPr>
    </w:p>
    <w:p>
      <w:pPr>
        <w:ind w:left="1660" w:hanging="319"/>
        <w:spacing w:after="0"/>
        <w:tabs>
          <w:tab w:leader="none" w:pos="1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dies while employed by the Company or one of its Affiliates;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60"/>
          </w:cols>
          <w:pgMar w:left="240" w:top="266" w:right="299" w:bottom="1440" w:gutter="0" w:footer="0" w:header="0"/>
        </w:sectPr>
      </w:pPr>
    </w:p>
    <w:bookmarkStart w:id="32" w:name="page33"/>
    <w:bookmarkEnd w:id="32"/>
    <w:p>
      <w:pPr>
        <w:ind w:left="460" w:right="160" w:firstLine="881"/>
        <w:spacing w:after="0" w:line="282" w:lineRule="auto"/>
        <w:tabs>
          <w:tab w:leader="none" w:pos="164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 ceases to be an Employee because of a permanent shut down of a single site of employment or of one or more facilities operating units within a single site of employment; or</w:t>
      </w:r>
    </w:p>
    <w:p>
      <w:pPr>
        <w:spacing w:after="0" w:line="53" w:lineRule="exact"/>
        <w:rPr>
          <w:rFonts w:ascii="Times New Roman" w:cs="Times New Roman" w:eastAsia="Times New Roman" w:hAnsi="Times New Roman"/>
          <w:sz w:val="18"/>
          <w:szCs w:val="18"/>
          <w:color w:val="auto"/>
        </w:rPr>
      </w:pPr>
    </w:p>
    <w:p>
      <w:pPr>
        <w:ind w:left="460" w:right="240" w:firstLine="881"/>
        <w:spacing w:after="0" w:line="282" w:lineRule="auto"/>
        <w:tabs>
          <w:tab w:leader="none" w:pos="159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employed by the Company or one of its Affiliates involved in a transaction and the Committee, in its discretion, fully vests the Participant in connection with the transaction.</w:t>
      </w:r>
    </w:p>
    <w:p>
      <w:pPr>
        <w:spacing w:after="0" w:line="53"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at all times be vested in his entire After-Tax Contributions, Employee Rollover Contributions and Pre-Tax Contributions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w:t>
      </w:r>
    </w:p>
    <w:p>
      <w:pPr>
        <w:spacing w:after="0" w:line="98" w:lineRule="exact"/>
        <w:rPr>
          <w:rFonts w:ascii="Times New Roman" w:cs="Times New Roman" w:eastAsia="Times New Roman" w:hAnsi="Times New Roman"/>
          <w:sz w:val="18"/>
          <w:szCs w:val="18"/>
          <w:color w:val="auto"/>
        </w:rPr>
      </w:pPr>
    </w:p>
    <w:p>
      <w:pPr>
        <w:ind w:firstLine="921"/>
        <w:spacing w:after="0" w:line="266" w:lineRule="auto"/>
        <w:tabs>
          <w:tab w:leader="none" w:pos="115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is hired by the Company or one of its Affiliates as a result of an acquisition, the Committee (or its delegate) may, in its discretion, give the Participant and all other Participants hired under the same circumstances as a result of the same acquisition, credit for service with a prior employer for purposes of vesting.</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20"/>
          </w:cols>
          <w:pgMar w:left="240" w:top="270" w:right="339" w:bottom="1440" w:gutter="0" w:footer="0" w:header="0"/>
        </w:sectPr>
      </w:pPr>
    </w:p>
    <w:bookmarkStart w:id="33" w:name="page34"/>
    <w:bookmarkEnd w:id="33"/>
    <w:p>
      <w:pPr>
        <w:ind w:left="3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 </w:t>
      </w:r>
      <w:r>
        <w:rPr>
          <w:rFonts w:ascii="Times New Roman" w:cs="Times New Roman" w:eastAsia="Times New Roman" w:hAnsi="Times New Roman"/>
          <w:sz w:val="18"/>
          <w:szCs w:val="18"/>
          <w:b w:val="1"/>
          <w:bCs w:val="1"/>
          <w:u w:val="single" w:color="auto"/>
          <w:color w:val="auto"/>
        </w:rPr>
        <w:t>DISTRIBUTABLE INTERESTS AND FORFEITURES.</w:t>
      </w:r>
    </w:p>
    <w:p>
      <w:pPr>
        <w:spacing w:after="0" w:line="117" w:lineRule="exact"/>
        <w:rPr>
          <w:sz w:val="20"/>
          <w:szCs w:val="20"/>
          <w:color w:val="auto"/>
        </w:rPr>
      </w:pPr>
    </w:p>
    <w:p>
      <w:pPr>
        <w:ind w:left="-140" w:firstLine="921"/>
        <w:spacing w:after="0" w:line="220" w:lineRule="auto"/>
        <w:tabs>
          <w:tab w:leader="none" w:pos="101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Plan Benefits</w:t>
      </w:r>
      <w:r>
        <w:rPr>
          <w:rFonts w:ascii="Times New Roman" w:cs="Times New Roman" w:eastAsia="Times New Roman" w:hAnsi="Times New Roman"/>
          <w:sz w:val="18"/>
          <w:szCs w:val="18"/>
          <w:color w:val="auto"/>
        </w:rPr>
        <w:t>. If a Participant’s employment with the Company terminates, if he becomes permanently and totally disabled, if he attains 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70-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2</w:t>
      </w:r>
      <w:r>
        <w:rPr>
          <w:rFonts w:ascii="Times New Roman" w:cs="Times New Roman" w:eastAsia="Times New Roman" w:hAnsi="Times New Roman"/>
          <w:sz w:val="18"/>
          <w:szCs w:val="18"/>
          <w:color w:val="auto"/>
        </w:rPr>
        <w:t>, or if he elects under Subsection 9(g) to have his Plan Benefit distributed to him, he will be entitled to receive (i) his entire After-Tax Contributions Account, (ii) his entire Pre-Tax Contributions Account, (iii) his entire Employee Rollover Contributions Account, and (iv) the portions (if any) of his Company Contributions Account that are vested under Section 7 as soon as administratively feasible after such employment terminates.</w:t>
      </w:r>
    </w:p>
    <w:p>
      <w:pPr>
        <w:spacing w:after="0" w:line="194" w:lineRule="exact"/>
        <w:rPr>
          <w:rFonts w:ascii="Times New Roman" w:cs="Times New Roman" w:eastAsia="Times New Roman" w:hAnsi="Times New Roman"/>
          <w:sz w:val="18"/>
          <w:szCs w:val="18"/>
          <w:color w:val="auto"/>
        </w:rPr>
      </w:pPr>
    </w:p>
    <w:p>
      <w:pPr>
        <w:ind w:left="-140" w:right="60" w:firstLine="921"/>
        <w:spacing w:after="0" w:line="259" w:lineRule="auto"/>
        <w:tabs>
          <w:tab w:leader="none" w:pos="10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Forfeitures</w:t>
      </w:r>
      <w:r>
        <w:rPr>
          <w:rFonts w:ascii="Times New Roman" w:cs="Times New Roman" w:eastAsia="Times New Roman" w:hAnsi="Times New Roman"/>
          <w:sz w:val="18"/>
          <w:szCs w:val="18"/>
          <w:color w:val="auto"/>
        </w:rPr>
        <w:t>. If a Participant is not entitled to receive 100% of his Company Contributions Account under Subsection 7(a), (b), or (c)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when his employment with the Company terminates, the non-vested portion shall be forfeited as of such date. If such Participant is reemployed by the Company within five (5) years from the date of termination, the forfeited amount shall be reinstated to his Company Contributions Account and may vest pursuant to Section 7. If such Participant terminates his employment with the Company a second time before he is 100% vested in his Company Contributions Account, the amount payable from those accounts shall be computed for that account as follows:</w:t>
      </w:r>
    </w:p>
    <w:p>
      <w:pPr>
        <w:spacing w:after="0" w:line="75" w:lineRule="exact"/>
        <w:rPr>
          <w:rFonts w:ascii="Times New Roman" w:cs="Times New Roman" w:eastAsia="Times New Roman" w:hAnsi="Times New Roman"/>
          <w:sz w:val="18"/>
          <w:szCs w:val="18"/>
          <w:color w:val="auto"/>
        </w:rPr>
      </w:pPr>
    </w:p>
    <w:p>
      <w:pPr>
        <w:ind w:left="1420" w:hanging="219"/>
        <w:spacing w:after="0"/>
        <w:tabs>
          <w:tab w:leader="none" w:pos="14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the amount of the prior payment from the account to current balance of the account;</w:t>
      </w:r>
    </w:p>
    <w:p>
      <w:pPr>
        <w:spacing w:after="0" w:line="117" w:lineRule="exact"/>
        <w:rPr>
          <w:rFonts w:ascii="Times New Roman" w:cs="Times New Roman" w:eastAsia="Times New Roman" w:hAnsi="Times New Roman"/>
          <w:sz w:val="18"/>
          <w:szCs w:val="18"/>
          <w:color w:val="auto"/>
        </w:rPr>
      </w:pPr>
    </w:p>
    <w:p>
      <w:pPr>
        <w:ind w:left="1460" w:hanging="259"/>
        <w:spacing w:after="0"/>
        <w:tabs>
          <w:tab w:leader="none" w:pos="14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the Participant’s current vesting percentage (based upon all his Years of Service) to the total obtained in (i) above; and</w:t>
      </w:r>
    </w:p>
    <w:p>
      <w:pPr>
        <w:spacing w:after="0" w:line="117" w:lineRule="exact"/>
        <w:rPr>
          <w:rFonts w:ascii="Times New Roman" w:cs="Times New Roman" w:eastAsia="Times New Roman" w:hAnsi="Times New Roman"/>
          <w:sz w:val="18"/>
          <w:szCs w:val="18"/>
          <w:color w:val="auto"/>
        </w:rPr>
      </w:pPr>
    </w:p>
    <w:p>
      <w:pPr>
        <w:ind w:left="1520" w:hanging="319"/>
        <w:spacing w:after="0"/>
        <w:tabs>
          <w:tab w:leader="none" w:pos="15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subtract from the amount obtained in (ii) above the amount of the prior payment from the account.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80" w:top="266" w:right="379" w:bottom="1440" w:gutter="0" w:footer="0" w:header="0"/>
        </w:sectPr>
      </w:pPr>
    </w:p>
    <w:bookmarkStart w:id="34" w:name="page35"/>
    <w:bookmarkEnd w:id="3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result is the amount payable to him from that account. All amounts which are forfeited during a calendar month will be used to pay the administrative expenses of the Plan in the following order: Trustee’s fees, communications to Participants, nondiscrimination testing, qualified domestic relations order administration, enrollment fees, required minimum distribution fees, auditors’ fees, consulting and legal fees and other similar administrative expenses. Any remaining forfeitures during a month will be debited against the appropriate Company Contribution Account, and credited toward the Company’s obligation to make Company Contributions in succeeding months. Any remaining forfeitures during a month will be used to pay fees associated with Participant communications to Participants involved in an acquisition or divestiture and Participant account adjustments, as determined by the Committee or its delegate. While awaiting allocation, until such time as the Company applies forfeitures to the purposes described above, they will be invested in a default fund selected by the Company. Notwithstanding the foregoing, if a Participant’s termination of employment is due to a “maternity or paternity leave,” then this Subsection 8(b) shall be read by substituting the number “six (6)” for the number “five (5)” wherever it appears herein. For the purposes of this Plan, “maternity or paternity leave” means termination of employment or absence from work due to the pregnancy of the Participant, the birth of a child of the Participant, the placement of a child in connection with the adoption of the child by a Participant, or the caring for a Participant’s child during the period immediately following the child’s birth or placement for adoption. The Committee shall determine, under rules of uniform application and based on information provided to the Committee by the Participant, whether or not the Participant’s termination of employment or absence from work is due to “maternity or paternity leave.”</w:t>
      </w:r>
    </w:p>
    <w:p>
      <w:pPr>
        <w:spacing w:after="0" w:line="1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60"/>
          </w:cols>
          <w:pgMar w:left="240" w:top="270"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 </w:t>
      </w:r>
      <w:r>
        <w:rPr>
          <w:rFonts w:ascii="Times New Roman" w:cs="Times New Roman" w:eastAsia="Times New Roman" w:hAnsi="Times New Roman"/>
          <w:sz w:val="18"/>
          <w:szCs w:val="18"/>
          <w:b w:val="1"/>
          <w:bCs w:val="1"/>
          <w:u w:val="single" w:color="auto"/>
          <w:color w:val="auto"/>
        </w:rPr>
        <w:t>FORM OF PLAN BENEFIT.</w:t>
      </w:r>
    </w:p>
    <w:p>
      <w:pPr>
        <w:spacing w:after="0" w:line="117" w:lineRule="exact"/>
        <w:rPr>
          <w:sz w:val="20"/>
          <w:szCs w:val="20"/>
          <w:color w:val="auto"/>
        </w:rPr>
      </w:pPr>
    </w:p>
    <w:p>
      <w:pPr>
        <w:ind w:left="700" w:hanging="239"/>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Normal Forms of Distribution.</w:t>
      </w:r>
    </w:p>
    <w:p>
      <w:pPr>
        <w:spacing w:after="0" w:line="117" w:lineRule="exact"/>
        <w:rPr>
          <w:rFonts w:ascii="Times New Roman" w:cs="Times New Roman" w:eastAsia="Times New Roman" w:hAnsi="Times New Roman"/>
          <w:sz w:val="18"/>
          <w:szCs w:val="18"/>
          <w:color w:val="auto"/>
        </w:rPr>
      </w:pPr>
    </w:p>
    <w:p>
      <w:pPr>
        <w:ind w:right="160" w:firstLine="881"/>
        <w:spacing w:after="0" w:line="259" w:lineRule="auto"/>
        <w:tabs>
          <w:tab w:leader="none" w:pos="109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Lump Sum Payment</w:t>
      </w:r>
      <w:r>
        <w:rPr>
          <w:rFonts w:ascii="Times New Roman" w:cs="Times New Roman" w:eastAsia="Times New Roman" w:hAnsi="Times New Roman"/>
          <w:sz w:val="18"/>
          <w:szCs w:val="18"/>
          <w:color w:val="auto"/>
        </w:rPr>
        <w:t>. A Participant’s Plan Benefit shall be distributed to him (or to his Beneficiary if such Participant dies before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Date), unless an installment distribution is elected pursuant to Subsection 9(b)(ii), in the form of a lump sum. Such distribution shall consist of (i) a check for the value of his interests (if any) in the Stock Fund, or, if the Participant elects to receive stock, a certificate for whole shares of Stock, with a check for any fractional share, representing his vested interest (if any) in the Stock Fund, (ii) a check for the value of his interests (if any) in the Investment Funds, and (iii) a check for the value of his vested interest in the Stock Fund to the extent not previously invested in Stock.</w:t>
      </w:r>
    </w:p>
    <w:p>
      <w:pPr>
        <w:spacing w:after="0" w:line="71" w:lineRule="exact"/>
        <w:rPr>
          <w:rFonts w:ascii="Times New Roman" w:cs="Times New Roman" w:eastAsia="Times New Roman" w:hAnsi="Times New Roman"/>
          <w:sz w:val="18"/>
          <w:szCs w:val="18"/>
          <w:color w:val="auto"/>
        </w:rPr>
      </w:pPr>
    </w:p>
    <w:p>
      <w:pPr>
        <w:ind w:firstLine="881"/>
        <w:spacing w:after="0" w:line="206" w:lineRule="auto"/>
        <w:tabs>
          <w:tab w:leader="none" w:pos="114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Distribution Date</w:t>
      </w:r>
      <w:r>
        <w:rPr>
          <w:rFonts w:ascii="Times New Roman" w:cs="Times New Roman" w:eastAsia="Times New Roman" w:hAnsi="Times New Roman"/>
          <w:sz w:val="18"/>
          <w:szCs w:val="18"/>
          <w:color w:val="auto"/>
        </w:rPr>
        <w:t>. A Participant’s Plan Benefit shall be distributed to such Participant (or to such Participant’s Beneficiary if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Participant has died before the Distribution Date) as soon as practicable after the Participant’s termination of employment, but not later than 60 days after the close of the Plan Year in which such termination occurs, unless distribution is deferred pursuant to Subsection 9(b). Provided, however, that a Participant must begin to receive his or her benefit no later than his or her “Required Beginning Date.” The Required Beginning Date of a Participant who reaches age 70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2</w:t>
      </w:r>
      <w:r>
        <w:rPr>
          <w:rFonts w:ascii="Times New Roman" w:cs="Times New Roman" w:eastAsia="Times New Roman" w:hAnsi="Times New Roman"/>
          <w:sz w:val="18"/>
          <w:szCs w:val="18"/>
          <w:color w:val="auto"/>
        </w:rPr>
        <w:t xml:space="preserve"> on or after January 1, 2000 is April 1 of the Year following the Year in which the Participant reaches age 70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2</w:t>
      </w:r>
      <w:r>
        <w:rPr>
          <w:rFonts w:ascii="Times New Roman" w:cs="Times New Roman" w:eastAsia="Times New Roman" w:hAnsi="Times New Roman"/>
          <w:sz w:val="18"/>
          <w:szCs w:val="18"/>
          <w:color w:val="auto"/>
        </w:rPr>
        <w:t xml:space="preserve"> or, if later, retires. The required beginning date of a Participant who reaches age 70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2</w:t>
      </w:r>
      <w:r>
        <w:rPr>
          <w:rFonts w:ascii="Times New Roman" w:cs="Times New Roman" w:eastAsia="Times New Roman" w:hAnsi="Times New Roman"/>
          <w:sz w:val="18"/>
          <w:szCs w:val="18"/>
          <w:color w:val="auto"/>
        </w:rPr>
        <w:t xml:space="preserve"> before January 1, 2000, is April 1 of the Year following the Year in which the Participant attains age 70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2</w:t>
      </w:r>
      <w:r>
        <w:rPr>
          <w:rFonts w:ascii="Times New Roman" w:cs="Times New Roman" w:eastAsia="Times New Roman" w:hAnsi="Times New Roman"/>
          <w:sz w:val="18"/>
          <w:szCs w:val="18"/>
          <w:color w:val="auto"/>
        </w:rPr>
        <w:t xml:space="preserve">. Notwithstanding the above, if a Participant is a 5% owner for the Plan Year ending in the Year in which he reaches age 70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2</w:t>
      </w:r>
      <w:r>
        <w:rPr>
          <w:rFonts w:ascii="Times New Roman" w:cs="Times New Roman" w:eastAsia="Times New Roman" w:hAnsi="Times New Roman"/>
          <w:sz w:val="18"/>
          <w:szCs w:val="18"/>
          <w:color w:val="auto"/>
        </w:rPr>
        <w:t>, his Required Beginning Date is April 1 of the following Year, and he cannot defer distribution until after he retires.</w:t>
      </w:r>
    </w:p>
    <w:p>
      <w:pPr>
        <w:spacing w:after="0" w:line="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700" w:top="266" w:right="259" w:bottom="1440" w:gutter="0" w:footer="0" w:header="0"/>
        </w:sectPr>
      </w:pPr>
    </w:p>
    <w:bookmarkStart w:id="36" w:name="page37"/>
    <w:bookmarkEnd w:id="36"/>
    <w:p>
      <w:pPr>
        <w:ind w:left="720" w:hanging="25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Optional Form of Distribution</w:t>
      </w:r>
      <w:r>
        <w:rPr>
          <w:rFonts w:ascii="Times New Roman" w:cs="Times New Roman" w:eastAsia="Times New Roman" w:hAnsi="Times New Roman"/>
          <w:sz w:val="18"/>
          <w:szCs w:val="18"/>
          <w:u w:val="single" w:color="auto"/>
          <w:color w:val="auto"/>
        </w:rPr>
        <w:t>.</w:t>
      </w:r>
    </w:p>
    <w:p>
      <w:pPr>
        <w:spacing w:after="0" w:line="117" w:lineRule="exact"/>
        <w:rPr>
          <w:rFonts w:ascii="Times New Roman" w:cs="Times New Roman" w:eastAsia="Times New Roman" w:hAnsi="Times New Roman"/>
          <w:sz w:val="18"/>
          <w:szCs w:val="18"/>
          <w:color w:val="auto"/>
        </w:rPr>
      </w:pPr>
    </w:p>
    <w:p>
      <w:pPr>
        <w:ind w:firstLine="881"/>
        <w:spacing w:after="0" w:line="257" w:lineRule="auto"/>
        <w:tabs>
          <w:tab w:leader="none" w:pos="109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Participant’s Election to Defer</w:t>
      </w:r>
      <w:r>
        <w:rPr>
          <w:rFonts w:ascii="Times New Roman" w:cs="Times New Roman" w:eastAsia="Times New Roman" w:hAnsi="Times New Roman"/>
          <w:sz w:val="18"/>
          <w:szCs w:val="18"/>
          <w:color w:val="auto"/>
        </w:rPr>
        <w:t>. With respect to a Participant whose employment terminates and whose Plan Benefit is valued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$5,000 or more, the distribution or commencement of distribution of the Participant’s Plan Benefit (including the Participant’s share, if any, of the Company Contributions and Forfeitures for the Plan Year in which the Participant’s employment with the Company terminates) will be deferred to the later of (i) the Participant’s Required Beginning Date; or (ii) the Year in which the Participant retires unless the Participant elects an immediate distribution as provided in Subsection 9(a)(ii). A Participant may so defer a portion of the Plan Benefit and receive an immediate distribution of the balance of it.</w:t>
      </w:r>
    </w:p>
    <w:p>
      <w:pPr>
        <w:spacing w:after="0" w:line="74" w:lineRule="exact"/>
        <w:rPr>
          <w:rFonts w:ascii="Times New Roman" w:cs="Times New Roman" w:eastAsia="Times New Roman" w:hAnsi="Times New Roman"/>
          <w:sz w:val="18"/>
          <w:szCs w:val="18"/>
          <w:color w:val="auto"/>
        </w:rPr>
      </w:pPr>
    </w:p>
    <w:p>
      <w:pPr>
        <w:ind w:right="40" w:firstLine="881"/>
        <w:spacing w:after="0" w:line="255" w:lineRule="auto"/>
        <w:tabs>
          <w:tab w:leader="none" w:pos="114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Systematic Withdrawal Payments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Participant entitled to elect to defer distribution of his Plan Benefit under Subsection 9(b)(i)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elect to have the distribution paid in cash over specified period (annual, quarterly or monthly) of not more than 20 years. Such election must be filed with the Company or its designate upon termination, before the Participant dies, or before the Committee determines that the Participant is permanently and totally disabled, as the case may be, and shall, except as provided in Subsection 9(f), be irrevocable. The election shall specify the number of payments. If a systematic withdrawal payment election is made, the Plan Benefit shall be distributed according to the Participant’s election as follows: The value of Stock and/or cash to be distributed in each payment shall be determined by the value of the Participant’s investment in the FMC Stock Fund. The amount payable with respect to the FMC Stock Fund portion of the payment shall be determined as of the Valuation Date immediately preceding the date payment is made.</w:t>
      </w:r>
    </w:p>
    <w:p>
      <w:pPr>
        <w:spacing w:after="0" w:line="77" w:lineRule="exact"/>
        <w:rPr>
          <w:rFonts w:ascii="Times New Roman" w:cs="Times New Roman" w:eastAsia="Times New Roman" w:hAnsi="Times New Roman"/>
          <w:sz w:val="18"/>
          <w:szCs w:val="18"/>
          <w:color w:val="auto"/>
        </w:rPr>
      </w:pPr>
    </w:p>
    <w:p>
      <w:pPr>
        <w:ind w:right="120" w:firstLine="881"/>
        <w:spacing w:after="0" w:line="262" w:lineRule="auto"/>
        <w:tabs>
          <w:tab w:leader="none" w:pos="119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Valuation Date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Benefit of a Participant who makes an election to defer distribution or to receive a systematic withdrawal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under Subsections 9(b)(i) or (ii) above, shall remain invested in the Trust Fund in the manner selected under Subsection 13(c) and shall be subject to the earnings and appreciation or depreciation applicable thereto until the Valuation Date preceding the final distribution designated by the Participant.</w:t>
      </w:r>
    </w:p>
    <w:p>
      <w:pPr>
        <w:spacing w:after="0" w:line="11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20"/>
          </w:cols>
          <w:pgMar w:left="700" w:top="266" w:right="379" w:bottom="1440" w:gutter="0" w:footer="0" w:header="0"/>
        </w:sectPr>
      </w:pPr>
    </w:p>
    <w:bookmarkStart w:id="37" w:name="page38"/>
    <w:bookmarkEnd w:id="37"/>
    <w:p>
      <w:pPr>
        <w:ind w:left="-40" w:right="280" w:firstLine="921"/>
        <w:spacing w:after="0" w:line="286" w:lineRule="auto"/>
        <w:tabs>
          <w:tab w:leader="none" w:pos="111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Distribution Events</w:t>
      </w:r>
      <w:r>
        <w:rPr>
          <w:rFonts w:ascii="Times New Roman" w:cs="Times New Roman" w:eastAsia="Times New Roman" w:hAnsi="Times New Roman"/>
          <w:sz w:val="18"/>
          <w:szCs w:val="18"/>
          <w:color w:val="auto"/>
        </w:rPr>
        <w:t>. A Participant is eligible to receive a lump sum distribution of his or her account under any of the sets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described below.</w:t>
      </w:r>
    </w:p>
    <w:p>
      <w:pPr>
        <w:spacing w:after="0" w:line="50" w:lineRule="exact"/>
        <w:rPr>
          <w:rFonts w:ascii="Times New Roman" w:cs="Times New Roman" w:eastAsia="Times New Roman" w:hAnsi="Times New Roman"/>
          <w:sz w:val="18"/>
          <w:szCs w:val="18"/>
          <w:color w:val="auto"/>
        </w:rPr>
      </w:pPr>
    </w:p>
    <w:p>
      <w:pPr>
        <w:ind w:left="420" w:right="180" w:firstLine="881"/>
        <w:spacing w:after="0" w:line="282" w:lineRule="auto"/>
        <w:tabs>
          <w:tab w:leader="none" w:pos="151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terminated and another defined contribution plan is not established in its place. Neither an employee stock ownership plan nor a simplified employee pension plan counts as another defined contribution plan for this purpose.</w:t>
      </w:r>
    </w:p>
    <w:p>
      <w:pPr>
        <w:spacing w:after="0" w:line="53" w:lineRule="exact"/>
        <w:rPr>
          <w:rFonts w:ascii="Times New Roman" w:cs="Times New Roman" w:eastAsia="Times New Roman" w:hAnsi="Times New Roman"/>
          <w:sz w:val="18"/>
          <w:szCs w:val="18"/>
          <w:color w:val="auto"/>
        </w:rPr>
      </w:pPr>
    </w:p>
    <w:p>
      <w:pPr>
        <w:ind w:left="420" w:right="440" w:firstLine="881"/>
        <w:spacing w:after="0" w:line="266" w:lineRule="auto"/>
        <w:tabs>
          <w:tab w:leader="none" w:pos="156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participating Employer that is a corporation disposes of substantially all of the assets used in a trade or business to an unrelated corporation, and the Participating Employer continues to maintain this Plan after the disposition. In such a case, only Employees who continue employment with the corporation acquiring the assets may receive lump sum distribution.</w:t>
      </w:r>
    </w:p>
    <w:p>
      <w:pPr>
        <w:spacing w:after="0" w:line="68" w:lineRule="exact"/>
        <w:rPr>
          <w:rFonts w:ascii="Times New Roman" w:cs="Times New Roman" w:eastAsia="Times New Roman" w:hAnsi="Times New Roman"/>
          <w:sz w:val="18"/>
          <w:szCs w:val="18"/>
          <w:color w:val="auto"/>
        </w:rPr>
      </w:pPr>
    </w:p>
    <w:p>
      <w:pPr>
        <w:ind w:left="420" w:right="400" w:firstLine="881"/>
        <w:spacing w:after="0" w:line="266" w:lineRule="auto"/>
        <w:tabs>
          <w:tab w:leader="none" w:pos="161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Participating Employer that is a corporation disposes of its interest in a subsidiary to an unrelated entity, and the Participating Employer continues to maintain this Plan. In such a case, only Employees who continue employment with the subsidiary may receive a lump sum distribution.</w:t>
      </w:r>
    </w:p>
    <w:p>
      <w:pPr>
        <w:spacing w:after="0" w:line="64" w:lineRule="exact"/>
        <w:rPr>
          <w:rFonts w:ascii="Times New Roman" w:cs="Times New Roman" w:eastAsia="Times New Roman" w:hAnsi="Times New Roman"/>
          <w:sz w:val="18"/>
          <w:szCs w:val="18"/>
          <w:color w:val="auto"/>
        </w:rPr>
      </w:pPr>
    </w:p>
    <w:p>
      <w:pPr>
        <w:ind w:left="-40" w:firstLine="921"/>
        <w:spacing w:after="0" w:line="259" w:lineRule="auto"/>
        <w:tabs>
          <w:tab w:leader="none" w:pos="11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Missing Persons</w:t>
      </w:r>
      <w:r>
        <w:rPr>
          <w:rFonts w:ascii="Times New Roman" w:cs="Times New Roman" w:eastAsia="Times New Roman" w:hAnsi="Times New Roman"/>
          <w:sz w:val="18"/>
          <w:szCs w:val="18"/>
          <w:color w:val="auto"/>
        </w:rPr>
        <w:t>. If the Administrator and the Trustee shall be unable, within two years after any amount becomes due and payable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to a Participant or Beneficiary, to make payment because the identity or whereabouts of such person cannot be ascertained, the Administrator may mail a notice by registered mail to the last known address of such person outlining the following action to be taken unless such person makes written reply to the Administrator within 60 days from the mailing of such notice: The Administrator may direct that amount and all further benefits with respect to such person shall be discontinued and all liability for the payment thereof shall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40"/>
          </w:cols>
          <w:pgMar w:left="280" w:top="266" w:right="279" w:bottom="1440" w:gutter="0" w:footer="0" w:header="0"/>
        </w:sectPr>
      </w:pPr>
    </w:p>
    <w:bookmarkStart w:id="38" w:name="page39"/>
    <w:bookmarkEnd w:id="38"/>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terminate: provided, however, that in the event of the subsequent reappearance of the Participant or Beneficiary prior to termination of the Plan, the benefits which were due and payable and which such person missed shall be paid in a single sum, and the future benefits due such person shall be reinstated in full. Any benefits discontinued as provided above, including benefits attributable to After-Tax Contributions, Pre-Tax Contributions, Employee Rollover Contributions, and Company Contributions, shall be treated as a Forfeiture under Subsection 8(b).</w:t>
      </w:r>
    </w:p>
    <w:p>
      <w:pPr>
        <w:spacing w:after="0" w:line="68" w:lineRule="exact"/>
        <w:rPr>
          <w:sz w:val="20"/>
          <w:szCs w:val="20"/>
          <w:color w:val="auto"/>
        </w:rPr>
      </w:pPr>
    </w:p>
    <w:p>
      <w:pPr>
        <w:ind w:right="80" w:firstLine="921"/>
        <w:spacing w:after="0" w:line="317" w:lineRule="auto"/>
        <w:tabs>
          <w:tab w:leader="none" w:pos="1157"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Payments to Beneficiary</w:t>
      </w:r>
      <w:r>
        <w:rPr>
          <w:rFonts w:ascii="Times New Roman" w:cs="Times New Roman" w:eastAsia="Times New Roman" w:hAnsi="Times New Roman"/>
          <w:sz w:val="17"/>
          <w:szCs w:val="17"/>
          <w:color w:val="auto"/>
        </w:rPr>
        <w:t>. A Beneficiary entitled to a distribution under this Plan may ask that any unpaid Plan Benefit be distributed by one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forms of distribution specified in the foregoing provisions of this Section 9, subject to the approval of the Committee and to the following limitations:</w:t>
      </w:r>
    </w:p>
    <w:p>
      <w:pPr>
        <w:spacing w:after="0" w:line="27" w:lineRule="exact"/>
        <w:rPr>
          <w:rFonts w:ascii="Times New Roman" w:cs="Times New Roman" w:eastAsia="Times New Roman" w:hAnsi="Times New Roman"/>
          <w:sz w:val="17"/>
          <w:szCs w:val="17"/>
          <w:color w:val="auto"/>
        </w:rPr>
      </w:pPr>
    </w:p>
    <w:p>
      <w:pPr>
        <w:ind w:left="460" w:firstLine="881"/>
        <w:spacing w:after="0" w:line="266" w:lineRule="auto"/>
        <w:tabs>
          <w:tab w:leader="none" w:pos="155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distribution of a Participant’s Plan Benefit in systematic withdrawal payments under Subsection 9(b)(ii) has begun and the Participant dies before her entire Plan Benefit has been distributed to her, the remaining portion of such interest shall be distributed at least as rapidly as under the systematic withdrawal payment method selected as of her date of death.</w:t>
      </w:r>
    </w:p>
    <w:p>
      <w:pPr>
        <w:spacing w:after="0" w:line="68" w:lineRule="exact"/>
        <w:rPr>
          <w:rFonts w:ascii="Times New Roman" w:cs="Times New Roman" w:eastAsia="Times New Roman" w:hAnsi="Times New Roman"/>
          <w:sz w:val="18"/>
          <w:szCs w:val="18"/>
          <w:color w:val="auto"/>
        </w:rPr>
      </w:pPr>
    </w:p>
    <w:p>
      <w:pPr>
        <w:ind w:left="460" w:right="280" w:firstLine="881"/>
        <w:spacing w:after="0" w:line="282" w:lineRule="auto"/>
        <w:tabs>
          <w:tab w:leader="none" w:pos="160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dies before she has begun to receive any distributions of her Plan Benefit, her Plan Benefit shall be distributed to her Beneficiaries within 5 years after her death.</w:t>
      </w:r>
    </w:p>
    <w:p>
      <w:pPr>
        <w:spacing w:after="0" w:line="53" w:lineRule="exact"/>
        <w:rPr>
          <w:rFonts w:ascii="Times New Roman" w:cs="Times New Roman" w:eastAsia="Times New Roman" w:hAnsi="Times New Roman"/>
          <w:sz w:val="18"/>
          <w:szCs w:val="18"/>
          <w:color w:val="auto"/>
        </w:rPr>
      </w:pPr>
    </w:p>
    <w:p>
      <w:pPr>
        <w:ind w:left="460" w:right="380" w:firstLine="881"/>
        <w:spacing w:after="0" w:line="258" w:lineRule="auto"/>
        <w:tabs>
          <w:tab w:leader="none" w:pos="165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5-year distribution requirement of Subsection 9(e)(ii) shall not apply to any portion of the deceased Participant’s Plan Benefit which is payable to or for the benefit of a designated Beneficiary. For purposes of this Subsection 9(e), “designated Beneficiary” shall include any person to whom a Participant’s Plan Benefit is paid pursuant to Subsection 18(c). In such event, such portion may be distributed in not more than systematic withdrawal payment of not more than 20 years, provided such distribution begins not later than one (1) year after the date of the Participant’s death (or such later date as may be prescribed by Treasury regulations).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270" w:right="259" w:bottom="1440" w:gutter="0" w:footer="0" w:header="0"/>
        </w:sectPr>
      </w:pPr>
    </w:p>
    <w:bookmarkStart w:id="39" w:name="page40"/>
    <w:bookmarkEnd w:id="39"/>
    <w:p>
      <w:pPr>
        <w:ind w:firstLine="1484"/>
        <w:spacing w:after="0" w:line="21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Except, however, in the event the Participant’s spouse is her Beneficiary, the requirement that distributions commence within one year of a Participant’s death shall not apply. In lieu thereof, such distribution must commence no later than the date on which the deceased Participant would have attained age seventy and one-half (70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2</w:t>
      </w:r>
      <w:r>
        <w:rPr>
          <w:rFonts w:ascii="Times New Roman" w:cs="Times New Roman" w:eastAsia="Times New Roman" w:hAnsi="Times New Roman"/>
          <w:sz w:val="18"/>
          <w:szCs w:val="18"/>
          <w:color w:val="auto"/>
        </w:rPr>
        <w:t>). If the surviving spouse dies before the distributions to such spouse begin, then the 5-year distribution requirement of Subsection 9(e)(ii) shall apply as if the spouse were the Participant.</w:t>
      </w:r>
    </w:p>
    <w:p>
      <w:pPr>
        <w:spacing w:after="0" w:line="87" w:lineRule="exact"/>
        <w:rPr>
          <w:sz w:val="20"/>
          <w:szCs w:val="20"/>
          <w:color w:val="auto"/>
        </w:rPr>
      </w:pPr>
    </w:p>
    <w:p>
      <w:pPr>
        <w:ind w:right="140" w:firstLine="921"/>
        <w:spacing w:after="0" w:line="256" w:lineRule="auto"/>
        <w:tabs>
          <w:tab w:leader="none" w:pos="113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Change of Election</w:t>
      </w:r>
      <w:r>
        <w:rPr>
          <w:rFonts w:ascii="Times New Roman" w:cs="Times New Roman" w:eastAsia="Times New Roman" w:hAnsi="Times New Roman"/>
          <w:sz w:val="18"/>
          <w:szCs w:val="18"/>
          <w:color w:val="auto"/>
        </w:rPr>
        <w:t>. Any Participant (or the Participant’s Beneficiary if the Participant has died) who has made an election to defer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or to receive a systematic withdrawal payment distribution (whether or not such systematic withdrawal payments have commenced) under Subsections 9(b)(i) or (ii) above, may subsequently elect to have the entire amount then credited to the Participant’s Plan Benefit account distributed immediately in a lump sum or elect to have installment payments commence in a year earlier than the year originally elected. Any other type of change in a Participant’s or Beneficiary’s deferral election, including without limitation, the earlier distribution of part of the amount credited to a Participant’s Plan Benefit account, a change from lump sum payments to installment payments or the postponement of a distribution or the commencement of installment payments, may be made only before distributions have begun.</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40"/>
          </w:cols>
          <w:pgMar w:left="240" w:top="270" w:right="319" w:bottom="1440" w:gutter="0" w:footer="0" w:header="0"/>
        </w:sectPr>
      </w:pPr>
    </w:p>
    <w:bookmarkStart w:id="40" w:name="page41"/>
    <w:bookmarkEnd w:id="40"/>
    <w:p>
      <w:pPr>
        <w:ind w:left="3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 </w:t>
      </w:r>
      <w:r>
        <w:rPr>
          <w:rFonts w:ascii="Times New Roman" w:cs="Times New Roman" w:eastAsia="Times New Roman" w:hAnsi="Times New Roman"/>
          <w:sz w:val="18"/>
          <w:szCs w:val="18"/>
          <w:b w:val="1"/>
          <w:bCs w:val="1"/>
          <w:u w:val="single" w:color="auto"/>
          <w:color w:val="auto"/>
        </w:rPr>
        <w:t>CLAIM PROCEDURE.</w:t>
      </w:r>
    </w:p>
    <w:p>
      <w:pPr>
        <w:spacing w:after="0" w:line="117" w:lineRule="exact"/>
        <w:rPr>
          <w:sz w:val="20"/>
          <w:szCs w:val="20"/>
          <w:color w:val="auto"/>
        </w:rPr>
      </w:pPr>
    </w:p>
    <w:p>
      <w:pPr>
        <w:ind w:left="-120" w:right="40" w:firstLine="921"/>
        <w:spacing w:after="0" w:line="291" w:lineRule="auto"/>
        <w:tabs>
          <w:tab w:leader="none" w:pos="1037"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Application for Benefits</w:t>
      </w:r>
      <w:r>
        <w:rPr>
          <w:rFonts w:ascii="Times New Roman" w:cs="Times New Roman" w:eastAsia="Times New Roman" w:hAnsi="Times New Roman"/>
          <w:sz w:val="17"/>
          <w:szCs w:val="17"/>
          <w:color w:val="auto"/>
        </w:rPr>
        <w:t>. Any application for benefits under the Plan and all inquiries concerning the Plan shall be submitted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Administrator at such address as may be announced to Participants from time to time. Applications for benefits shall be in writing on the form prescribed by the Administrator and shall be signed by the Participant or, in the case of a benefit payable after the death of the Participant, by the Participant’s Beneficiary.</w:t>
      </w:r>
    </w:p>
    <w:p>
      <w:pPr>
        <w:spacing w:after="0" w:line="45" w:lineRule="exact"/>
        <w:rPr>
          <w:rFonts w:ascii="Times New Roman" w:cs="Times New Roman" w:eastAsia="Times New Roman" w:hAnsi="Times New Roman"/>
          <w:sz w:val="17"/>
          <w:szCs w:val="17"/>
          <w:color w:val="auto"/>
        </w:rPr>
      </w:pPr>
    </w:p>
    <w:p>
      <w:pPr>
        <w:ind w:left="-120" w:firstLine="921"/>
        <w:spacing w:after="0" w:line="257" w:lineRule="auto"/>
        <w:tabs>
          <w:tab w:leader="none" w:pos="10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Decision of Administrator</w:t>
      </w:r>
      <w:r>
        <w:rPr>
          <w:rFonts w:ascii="Times New Roman" w:cs="Times New Roman" w:eastAsia="Times New Roman" w:hAnsi="Times New Roman"/>
          <w:sz w:val="18"/>
          <w:szCs w:val="18"/>
          <w:color w:val="auto"/>
        </w:rPr>
        <w:t>. The Administrator shall give written notice of its decision or any application to the applicant within 90 days.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circumstances require a longer period of time, the Administrator shall so notify the applicant within 90 days, and give written notice of its decision to the applicant within 180 days after receiving the application. In the event any application for benefits is denied in whole or in part, the Administrator shall notify the applicant in writing of the right to a review of the denial. Such written notice shall set forth, in a manner calculated to be understood by the applicant, specific reasons for the denial, specific references to the Plan provisions on which the denial is based, a description of any information or material necessary to perfect the application, an explanation of why such material is necessary and an explanation of the Plan’s review procedure.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00"/>
          </w:cols>
          <w:pgMar w:left="360" w:top="266" w:right="339" w:bottom="1440" w:gutter="0" w:footer="0" w:header="0"/>
        </w:sectPr>
      </w:pPr>
    </w:p>
    <w:bookmarkStart w:id="41" w:name="page42"/>
    <w:bookmarkEnd w:id="41"/>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 </w:t>
      </w:r>
      <w:r>
        <w:rPr>
          <w:rFonts w:ascii="Times New Roman" w:cs="Times New Roman" w:eastAsia="Times New Roman" w:hAnsi="Times New Roman"/>
          <w:sz w:val="18"/>
          <w:szCs w:val="18"/>
          <w:b w:val="1"/>
          <w:bCs w:val="1"/>
          <w:u w:val="single" w:color="auto"/>
          <w:color w:val="auto"/>
        </w:rPr>
        <w:t>APPEAL PROCEDURE</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jc w:val="both"/>
        <w:ind w:left="-20" w:firstLine="921"/>
        <w:spacing w:after="0" w:line="268" w:lineRule="auto"/>
        <w:tabs>
          <w:tab w:leader="none" w:pos="113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The Review Panel</w:t>
      </w:r>
      <w:r>
        <w:rPr>
          <w:rFonts w:ascii="Times New Roman" w:cs="Times New Roman" w:eastAsia="Times New Roman" w:hAnsi="Times New Roman"/>
          <w:sz w:val="18"/>
          <w:szCs w:val="18"/>
          <w:color w:val="auto"/>
        </w:rPr>
        <w:t>. The Company shall appoint a “Review Panel” which shall consist of three or more individuals who may (but need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of the Company. The Review Panel shall be the named fiduciary which has the authority to act with respect to any appeal from a denial of benefits under the Plan.</w:t>
      </w:r>
    </w:p>
    <w:p>
      <w:pPr>
        <w:spacing w:after="0" w:line="62" w:lineRule="exact"/>
        <w:rPr>
          <w:rFonts w:ascii="Times New Roman" w:cs="Times New Roman" w:eastAsia="Times New Roman" w:hAnsi="Times New Roman"/>
          <w:sz w:val="18"/>
          <w:szCs w:val="18"/>
          <w:color w:val="auto"/>
        </w:rPr>
      </w:pPr>
    </w:p>
    <w:p>
      <w:pPr>
        <w:ind w:left="-20" w:right="40" w:firstLine="921"/>
        <w:spacing w:after="0" w:line="256" w:lineRule="auto"/>
        <w:tabs>
          <w:tab w:leader="none" w:pos="11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Requests for a Review</w:t>
      </w:r>
      <w:r>
        <w:rPr>
          <w:rFonts w:ascii="Times New Roman" w:cs="Times New Roman" w:eastAsia="Times New Roman" w:hAnsi="Times New Roman"/>
          <w:sz w:val="18"/>
          <w:szCs w:val="18"/>
          <w:color w:val="auto"/>
        </w:rPr>
        <w:t>. Any person whose application for benefits is denied in whole or in part (or the applicant’s authorized representative)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appeal from the denial by submitting to the Review Panel a request for a review of the application within three months after receiving written notice of the denial. The Administrator shall give the applicant or such representative an opportunity to review pertinent materials (other than legally privileged documents) in preparing such request for review. The request for review shall be in writing and addressed as follows: “Review Panel under the FMC Puerto Rico Savings and Investment Plan, 200 East Randolph Drive, Chicago, Illinois 60601.” The request for review shall set forth all of the grounds on which it is based, all facts in support of the request and any other matters which the applicant deems pertinent. The Review Panel may require the applicant to submit such additional facts, documents or other material as it may deem necessary or appropriate in making its review.</w:t>
      </w:r>
    </w:p>
    <w:p>
      <w:pPr>
        <w:spacing w:after="0" w:line="75" w:lineRule="exact"/>
        <w:rPr>
          <w:rFonts w:ascii="Times New Roman" w:cs="Times New Roman" w:eastAsia="Times New Roman" w:hAnsi="Times New Roman"/>
          <w:sz w:val="18"/>
          <w:szCs w:val="18"/>
          <w:color w:val="auto"/>
        </w:rPr>
      </w:pPr>
    </w:p>
    <w:p>
      <w:pPr>
        <w:ind w:left="-20" w:right="40" w:firstLine="921"/>
        <w:spacing w:after="0" w:line="259" w:lineRule="auto"/>
        <w:tabs>
          <w:tab w:leader="none" w:pos="113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Decision on Review</w:t>
      </w:r>
      <w:r>
        <w:rPr>
          <w:rFonts w:ascii="Times New Roman" w:cs="Times New Roman" w:eastAsia="Times New Roman" w:hAnsi="Times New Roman"/>
          <w:sz w:val="18"/>
          <w:szCs w:val="18"/>
          <w:color w:val="auto"/>
        </w:rPr>
        <w:t>. The Review Panel shall act upon each request for review within 60 days after receipt thereof unless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require further time for processing, but in no event shall the decision on review be rendered more than 120 days after the Review Panel receives the request for review. The Review Panel shall give prompt, written notice of its decision to the Administrator and to the applicant. In the event the Review Panel confirms the denial of the application for benefits in whole or in part, such notice shall set forth, in a manner calculated to be understood by the applicant, the specific reasons for such denial and specific references to the Plan provisions on which the decision is based.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60" w:top="266" w:right="259" w:bottom="1440" w:gutter="0" w:footer="0" w:header="0"/>
        </w:sectPr>
      </w:pPr>
    </w:p>
    <w:bookmarkStart w:id="42" w:name="page43"/>
    <w:bookmarkEnd w:id="42"/>
    <w:p>
      <w:pPr>
        <w:ind w:left="-8" w:right="320" w:firstLine="921"/>
        <w:spacing w:after="0" w:line="286" w:lineRule="auto"/>
        <w:tabs>
          <w:tab w:leader="none" w:pos="11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Rules and Procedures</w:t>
      </w:r>
      <w:r>
        <w:rPr>
          <w:rFonts w:ascii="Times New Roman" w:cs="Times New Roman" w:eastAsia="Times New Roman" w:hAnsi="Times New Roman"/>
          <w:sz w:val="18"/>
          <w:szCs w:val="18"/>
          <w:color w:val="auto"/>
        </w:rPr>
        <w:t>. The Review Panel shall establish such rules and procedures, consistent with ERISA and the Plan, as it may deem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or appropriate in carrying out its responsibilities under this Section 11.</w:t>
      </w:r>
    </w:p>
    <w:p>
      <w:pPr>
        <w:spacing w:after="0" w:line="46" w:lineRule="exact"/>
        <w:rPr>
          <w:rFonts w:ascii="Times New Roman" w:cs="Times New Roman" w:eastAsia="Times New Roman" w:hAnsi="Times New Roman"/>
          <w:sz w:val="18"/>
          <w:szCs w:val="18"/>
          <w:color w:val="auto"/>
        </w:rPr>
      </w:pPr>
    </w:p>
    <w:p>
      <w:pPr>
        <w:ind w:left="-8" w:right="340" w:firstLine="921"/>
        <w:spacing w:after="0" w:line="263" w:lineRule="auto"/>
        <w:tabs>
          <w:tab w:leader="none" w:pos="114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Exhaustion of Remedies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legal or equitable action for benefits under the Plan shall be brought unless and until the claimant (i)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submitted a written application for benefits in accordance with Subsection 10(a), (ii) has been notified by the Administrator that the application is denied,</w:t>
      </w:r>
    </w:p>
    <w:p>
      <w:pPr>
        <w:ind w:left="-8" w:firstLine="8"/>
        <w:spacing w:after="0" w:line="255" w:lineRule="auto"/>
        <w:tabs>
          <w:tab w:leader="none" w:pos="30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filed a written request for a review of the application in accordance with Subsection 11(b) above, and (iv) has been notified in writing that the Review Panel has affirmed the denial of the application; provided that legal action may be brought after the Review Panel has failed to take any action on the claim within the time prescribed in Subsections 10(b) or 11(c) above.</w:t>
      </w:r>
    </w:p>
    <w:p>
      <w:pPr>
        <w:spacing w:after="0" w:line="11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92"/>
          </w:cols>
          <w:pgMar w:left="248" w:top="266" w:right="2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12. </w:t>
      </w:r>
      <w:r>
        <w:rPr>
          <w:rFonts w:ascii="Times New Roman" w:cs="Times New Roman" w:eastAsia="Times New Roman" w:hAnsi="Times New Roman"/>
          <w:sz w:val="18"/>
          <w:szCs w:val="18"/>
          <w:b w:val="1"/>
          <w:bCs w:val="1"/>
          <w:u w:val="single" w:color="auto"/>
          <w:color w:val="auto"/>
        </w:rPr>
        <w:t>FIDUCIARIES</w:t>
      </w:r>
    </w:p>
    <w:p>
      <w:pPr>
        <w:spacing w:after="0" w:line="117" w:lineRule="exact"/>
        <w:rPr>
          <w:sz w:val="20"/>
          <w:szCs w:val="20"/>
          <w:color w:val="auto"/>
        </w:rPr>
      </w:pPr>
    </w:p>
    <w:p>
      <w:pPr>
        <w:ind w:left="700" w:hanging="239"/>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Named Fiduciaries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right="20" w:firstLine="881"/>
        <w:spacing w:after="0" w:line="266" w:lineRule="auto"/>
        <w:tabs>
          <w:tab w:leader="none" w:pos="109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Plan sponsor and a “named fiduciary,” as that term is defined in ERISA Section 402(a)(2), with respect to control over and management of the Plan’s assets only to the extent that it (a) delegates it’s authorities and duties as “plan administrator” (as defined under ERISA) to FMC or the Committee; and (b) continually monitors the performance of FMC or the Committee.</w:t>
      </w:r>
    </w:p>
    <w:p>
      <w:pPr>
        <w:spacing w:after="0" w:line="68" w:lineRule="exact"/>
        <w:rPr>
          <w:rFonts w:ascii="Times New Roman" w:cs="Times New Roman" w:eastAsia="Times New Roman" w:hAnsi="Times New Roman"/>
          <w:sz w:val="18"/>
          <w:szCs w:val="18"/>
          <w:color w:val="auto"/>
        </w:rPr>
      </w:pPr>
    </w:p>
    <w:p>
      <w:pPr>
        <w:ind w:firstLine="881"/>
        <w:spacing w:after="0" w:line="266" w:lineRule="auto"/>
        <w:tabs>
          <w:tab w:leader="none" w:pos="114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 Administrator, FMC and the Committee, which administers the Plan at the Administrator’s direction, are “named Fiduciaries” of the Plan, as that term is defined in ERISA Section 402(a)(2), with authority to control and manage the operation and administration of the Plan. The Administrator is also the “administrator” and “plan administrator” of the Plan, as those terms are defined in ERISA Section 3(16)(A).</w:t>
      </w:r>
    </w:p>
    <w:p>
      <w:pPr>
        <w:spacing w:after="0" w:line="68" w:lineRule="exact"/>
        <w:rPr>
          <w:rFonts w:ascii="Times New Roman" w:cs="Times New Roman" w:eastAsia="Times New Roman" w:hAnsi="Times New Roman"/>
          <w:sz w:val="18"/>
          <w:szCs w:val="18"/>
          <w:color w:val="auto"/>
        </w:rPr>
      </w:pPr>
    </w:p>
    <w:p>
      <w:pPr>
        <w:ind w:right="140" w:firstLine="881"/>
        <w:spacing w:after="0" w:line="266" w:lineRule="auto"/>
        <w:tabs>
          <w:tab w:leader="none" w:pos="119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in a “named fiduciary” of the Plan, as that term is defined in ERISA Section 402(a)(2), with authority to manage and control all Trust assets, except to the extent that authority is allocated under the Plan and Trust to the Administrator or is delegated to an Investment Manager, an insurance company, or the Plan Participants at the direction of the Administrator or the Committee.</w:t>
      </w:r>
    </w:p>
    <w:p>
      <w:pPr>
        <w:spacing w:after="0" w:line="68" w:lineRule="exact"/>
        <w:rPr>
          <w:rFonts w:ascii="Times New Roman" w:cs="Times New Roman" w:eastAsia="Times New Roman" w:hAnsi="Times New Roman"/>
          <w:sz w:val="18"/>
          <w:szCs w:val="18"/>
          <w:color w:val="auto"/>
        </w:rPr>
      </w:pPr>
    </w:p>
    <w:p>
      <w:pPr>
        <w:ind w:left="1180" w:hanging="299"/>
        <w:spacing w:after="0"/>
        <w:tabs>
          <w:tab w:leader="none" w:pos="11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Committee, FMC, the Administrator and Trustee are the only named fiduciaries of the Plan.</w:t>
      </w:r>
    </w:p>
    <w:p>
      <w:pPr>
        <w:spacing w:after="0" w:line="15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780"/>
          </w:cols>
          <w:pgMar w:left="700" w:top="266" w:right="419" w:bottom="1440" w:gutter="0" w:footer="0" w:header="0"/>
        </w:sectPr>
      </w:pPr>
    </w:p>
    <w:bookmarkStart w:id="44" w:name="page45"/>
    <w:bookmarkEnd w:id="44"/>
    <w:p>
      <w:pPr>
        <w:ind w:left="1180" w:hanging="259"/>
        <w:spacing w:after="0"/>
        <w:tabs>
          <w:tab w:leader="none" w:pos="1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of Advisers</w:t>
      </w:r>
    </w:p>
    <w:p>
      <w:pPr>
        <w:spacing w:after="0" w:line="229" w:lineRule="exact"/>
        <w:rPr>
          <w:sz w:val="20"/>
          <w:szCs w:val="20"/>
          <w:color w:val="auto"/>
        </w:rPr>
      </w:pPr>
    </w:p>
    <w:p>
      <w:pPr>
        <w:ind w:right="100" w:firstLine="1484"/>
        <w:spacing w:after="0" w:line="282" w:lineRule="auto"/>
        <w:rPr>
          <w:sz w:val="20"/>
          <w:szCs w:val="20"/>
          <w:color w:val="auto"/>
        </w:rPr>
      </w:pPr>
      <w:r>
        <w:rPr>
          <w:rFonts w:ascii="Times New Roman" w:cs="Times New Roman" w:eastAsia="Times New Roman" w:hAnsi="Times New Roman"/>
          <w:sz w:val="18"/>
          <w:szCs w:val="18"/>
          <w:color w:val="auto"/>
        </w:rPr>
        <w:t>A named fiduciary, and any fiduciary appointed by a named fiduciary, may employ one or more persons to render advice regarding any of the named fiduciary’s or fiduciary’s responsibilities under the Plan.</w:t>
      </w:r>
    </w:p>
    <w:p>
      <w:pPr>
        <w:spacing w:after="0" w:line="50" w:lineRule="exact"/>
        <w:rPr>
          <w:sz w:val="20"/>
          <w:szCs w:val="20"/>
          <w:color w:val="auto"/>
        </w:rPr>
      </w:pPr>
    </w:p>
    <w:p>
      <w:pPr>
        <w:ind w:left="1160" w:hanging="239"/>
        <w:spacing w:after="0"/>
        <w:tabs>
          <w:tab w:leader="none" w:pos="1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Multiple Fiduciary Capacities</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Any named fiduciary and any other fiduciary may serve in more than one fiduciary capacity with respect to the Plan.</w:t>
      </w:r>
    </w:p>
    <w:p>
      <w:pPr>
        <w:spacing w:after="0" w:line="113" w:lineRule="exact"/>
        <w:rPr>
          <w:sz w:val="20"/>
          <w:szCs w:val="20"/>
          <w:color w:val="auto"/>
        </w:rPr>
      </w:pPr>
    </w:p>
    <w:p>
      <w:pPr>
        <w:ind w:left="1180" w:hanging="259"/>
        <w:spacing w:after="0"/>
        <w:tabs>
          <w:tab w:leader="none" w:pos="1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Expenses</w:t>
      </w:r>
    </w:p>
    <w:p>
      <w:pPr>
        <w:spacing w:after="0" w:line="229" w:lineRule="exact"/>
        <w:rPr>
          <w:sz w:val="20"/>
          <w:szCs w:val="20"/>
          <w:color w:val="auto"/>
        </w:rPr>
      </w:pPr>
    </w:p>
    <w:p>
      <w:pPr>
        <w:ind w:right="80" w:firstLine="1484"/>
        <w:spacing w:after="0" w:line="256" w:lineRule="auto"/>
        <w:rPr>
          <w:sz w:val="20"/>
          <w:szCs w:val="20"/>
          <w:color w:val="auto"/>
        </w:rPr>
      </w:pPr>
      <w:r>
        <w:rPr>
          <w:rFonts w:ascii="Times New Roman" w:cs="Times New Roman" w:eastAsia="Times New Roman" w:hAnsi="Times New Roman"/>
          <w:sz w:val="18"/>
          <w:szCs w:val="18"/>
          <w:color w:val="auto"/>
        </w:rPr>
        <w:t>All Plan expenses, including expenses of the Administrator, the Committee, the Trustee, any investment manager and any insurance company, will be paid by the Trust Fund, unless a Participating Employer elects to pay some or all of those expenses. All or a portion of the recordkeeping costs or charges imposed or incurred (if any) in maintaining the Plan will be charged on a per capita basis to the Account of each Participant. In addition, all charges imposed or incurred (if any) for an Investment Fund or a transfer between Investment Funds will be charged to the Account of the Participant directing that investment. In addition, all charges imposed or incurred for a Participant loan will be charged to the Account of the Participant requesting the loan.</w:t>
      </w:r>
    </w:p>
    <w:p>
      <w:pPr>
        <w:spacing w:after="0" w:line="76" w:lineRule="exact"/>
        <w:rPr>
          <w:sz w:val="20"/>
          <w:szCs w:val="20"/>
          <w:color w:val="auto"/>
        </w:rPr>
      </w:pPr>
    </w:p>
    <w:p>
      <w:pPr>
        <w:ind w:left="1160" w:hanging="239"/>
        <w:spacing w:after="0"/>
        <w:tabs>
          <w:tab w:leader="none" w:pos="11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Indemnification</w:t>
      </w:r>
    </w:p>
    <w:p>
      <w:pPr>
        <w:spacing w:after="0" w:line="229" w:lineRule="exact"/>
        <w:rPr>
          <w:sz w:val="20"/>
          <w:szCs w:val="20"/>
          <w:color w:val="auto"/>
        </w:rPr>
      </w:pPr>
    </w:p>
    <w:p>
      <w:pPr>
        <w:ind w:firstLine="1484"/>
        <w:spacing w:after="0" w:line="258" w:lineRule="auto"/>
        <w:rPr>
          <w:sz w:val="20"/>
          <w:szCs w:val="20"/>
          <w:color w:val="auto"/>
        </w:rPr>
      </w:pPr>
      <w:r>
        <w:rPr>
          <w:rFonts w:ascii="Times New Roman" w:cs="Times New Roman" w:eastAsia="Times New Roman" w:hAnsi="Times New Roman"/>
          <w:sz w:val="18"/>
          <w:szCs w:val="18"/>
          <w:color w:val="auto"/>
        </w:rPr>
        <w:t>To the extent not prohibited by the law of the Commonwealth of Puerto Rico or federal law, each Participating Employer agrees to, and will indemnify and save harmless the Administrator, any past, present, additional or replacement member of the Committee, and any other Employee, officer or director of that Participating Employer, from all claims for liability, loss, damage (including payment of expenses to defend against any such claim) fees, fines, taxes, interest, penalties and expenses which result from any exercise or failure to exercise any responsibilities with respect to the Plan, other than willful misconduct or willful failure to act.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20"/>
          </w:cols>
          <w:pgMar w:left="240" w:top="26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13. </w:t>
      </w:r>
      <w:r>
        <w:rPr>
          <w:rFonts w:ascii="Times New Roman" w:cs="Times New Roman" w:eastAsia="Times New Roman" w:hAnsi="Times New Roman"/>
          <w:sz w:val="18"/>
          <w:szCs w:val="18"/>
          <w:b w:val="1"/>
          <w:bCs w:val="1"/>
          <w:u w:val="single" w:color="auto"/>
          <w:color w:val="auto"/>
        </w:rPr>
        <w:t>PLAN ADMINISTRATION</w:t>
      </w:r>
    </w:p>
    <w:p>
      <w:pPr>
        <w:spacing w:after="0" w:line="117" w:lineRule="exact"/>
        <w:rPr>
          <w:sz w:val="20"/>
          <w:szCs w:val="20"/>
          <w:color w:val="auto"/>
        </w:rPr>
      </w:pPr>
    </w:p>
    <w:p>
      <w:pPr>
        <w:ind w:left="700" w:hanging="239"/>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Powers, Duties and Responsibilities of the Administrator and the Committee</w:t>
      </w:r>
    </w:p>
    <w:p>
      <w:pPr>
        <w:spacing w:after="0" w:line="121" w:lineRule="exact"/>
        <w:rPr>
          <w:rFonts w:ascii="Times New Roman" w:cs="Times New Roman" w:eastAsia="Times New Roman" w:hAnsi="Times New Roman"/>
          <w:sz w:val="18"/>
          <w:szCs w:val="18"/>
          <w:color w:val="auto"/>
        </w:rPr>
      </w:pPr>
    </w:p>
    <w:p>
      <w:pPr>
        <w:ind w:right="300" w:firstLine="881"/>
        <w:spacing w:after="0" w:line="266" w:lineRule="auto"/>
        <w:tabs>
          <w:tab w:leader="none" w:pos="109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and the Committee have full discretion and power to construe the Plan and to determine all questions of fact or interpretation that may arise under it. An interpretation of the Plan or determination of questions of fact regarding the Plan by the Administrator or Committee will be conclusively binding on all persons interested in the Plan.</w:t>
      </w:r>
    </w:p>
    <w:p>
      <w:pPr>
        <w:spacing w:after="0" w:line="68" w:lineRule="exact"/>
        <w:rPr>
          <w:rFonts w:ascii="Times New Roman" w:cs="Times New Roman" w:eastAsia="Times New Roman" w:hAnsi="Times New Roman"/>
          <w:sz w:val="18"/>
          <w:szCs w:val="18"/>
          <w:color w:val="auto"/>
        </w:rPr>
      </w:pPr>
    </w:p>
    <w:p>
      <w:pPr>
        <w:ind w:right="80" w:firstLine="881"/>
        <w:spacing w:after="0" w:line="282" w:lineRule="auto"/>
        <w:tabs>
          <w:tab w:leader="none" w:pos="114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and the Committee have the power to promulgate such rules and procedures, to maintain or cause to be maintained such records and to issue such forms as they deem necessary or proper to administer the Plan.</w:t>
      </w:r>
    </w:p>
    <w:p>
      <w:pPr>
        <w:spacing w:after="0" w:line="53" w:lineRule="exact"/>
        <w:rPr>
          <w:rFonts w:ascii="Times New Roman" w:cs="Times New Roman" w:eastAsia="Times New Roman" w:hAnsi="Times New Roman"/>
          <w:sz w:val="18"/>
          <w:szCs w:val="18"/>
          <w:color w:val="auto"/>
        </w:rPr>
      </w:pPr>
    </w:p>
    <w:p>
      <w:pPr>
        <w:ind w:right="240" w:firstLine="881"/>
        <w:spacing w:after="0" w:line="282" w:lineRule="auto"/>
        <w:tabs>
          <w:tab w:leader="none" w:pos="119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Plan, the Administrator and/or the Committee will determine the time and manner in which all elections authorized by the Plan must be made or revoked.</w:t>
      </w:r>
    </w:p>
    <w:p>
      <w:pPr>
        <w:spacing w:after="0" w:line="53" w:lineRule="exact"/>
        <w:rPr>
          <w:rFonts w:ascii="Times New Roman" w:cs="Times New Roman" w:eastAsia="Times New Roman" w:hAnsi="Times New Roman"/>
          <w:sz w:val="18"/>
          <w:szCs w:val="18"/>
          <w:color w:val="auto"/>
        </w:rPr>
      </w:pPr>
    </w:p>
    <w:p>
      <w:pPr>
        <w:ind w:left="1180" w:hanging="299"/>
        <w:spacing w:after="0"/>
        <w:tabs>
          <w:tab w:leader="none" w:pos="11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and the Committee have all the rights, powers, duties and obligations granted or imposed upon them elsewhere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w:t>
      </w:r>
    </w:p>
    <w:p>
      <w:pPr>
        <w:spacing w:after="0" w:line="98" w:lineRule="exact"/>
        <w:rPr>
          <w:rFonts w:ascii="Times New Roman" w:cs="Times New Roman" w:eastAsia="Times New Roman" w:hAnsi="Times New Roman"/>
          <w:sz w:val="18"/>
          <w:szCs w:val="18"/>
          <w:color w:val="auto"/>
        </w:rPr>
      </w:pPr>
    </w:p>
    <w:p>
      <w:pPr>
        <w:ind w:firstLine="881"/>
        <w:spacing w:after="0" w:line="282" w:lineRule="auto"/>
        <w:tabs>
          <w:tab w:leader="none" w:pos="113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and the Committee have the power to do all other acts in the judgment of the Administrator or Committee necessary or desirable for the proper and advantageous administration of the Plan.</w:t>
      </w:r>
    </w:p>
    <w:p>
      <w:pPr>
        <w:spacing w:after="0" w:line="53" w:lineRule="exact"/>
        <w:rPr>
          <w:rFonts w:ascii="Times New Roman" w:cs="Times New Roman" w:eastAsia="Times New Roman" w:hAnsi="Times New Roman"/>
          <w:sz w:val="18"/>
          <w:szCs w:val="18"/>
          <w:color w:val="auto"/>
        </w:rPr>
      </w:pPr>
    </w:p>
    <w:p>
      <w:pPr>
        <w:ind w:left="1180" w:hanging="299"/>
        <w:spacing w:after="0"/>
        <w:tabs>
          <w:tab w:leader="none" w:pos="11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and the Committee will exercise all of their responsibilities in a uniform and nondiscriminatory manner.</w:t>
      </w:r>
    </w:p>
    <w:p>
      <w:pPr>
        <w:spacing w:after="0" w:line="15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860"/>
          </w:cols>
          <w:pgMar w:left="700" w:top="266" w:right="339" w:bottom="1440" w:gutter="0" w:footer="0" w:header="0"/>
        </w:sectPr>
      </w:pPr>
    </w:p>
    <w:bookmarkStart w:id="46" w:name="page47"/>
    <w:bookmarkEnd w:id="46"/>
    <w:p>
      <w:pPr>
        <w:ind w:left="720" w:hanging="25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Powers, Duties and Responsibilities of the Administrator and the Committee</w:t>
      </w:r>
    </w:p>
    <w:p>
      <w:pPr>
        <w:spacing w:after="0" w:line="121" w:lineRule="exact"/>
        <w:rPr>
          <w:rFonts w:ascii="Times New Roman" w:cs="Times New Roman" w:eastAsia="Times New Roman" w:hAnsi="Times New Roman"/>
          <w:sz w:val="18"/>
          <w:szCs w:val="18"/>
          <w:color w:val="auto"/>
        </w:rPr>
      </w:pPr>
    </w:p>
    <w:p>
      <w:pPr>
        <w:ind w:right="540" w:firstLine="881"/>
        <w:spacing w:after="0" w:line="282" w:lineRule="auto"/>
        <w:tabs>
          <w:tab w:leader="none" w:pos="109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and the Committee have the power to make and deal with any investment of the Trust in any manner it deems advisable and which is consistent with the Plan.</w:t>
      </w:r>
    </w:p>
    <w:p>
      <w:pPr>
        <w:spacing w:after="0" w:line="53" w:lineRule="exact"/>
        <w:rPr>
          <w:rFonts w:ascii="Times New Roman" w:cs="Times New Roman" w:eastAsia="Times New Roman" w:hAnsi="Times New Roman"/>
          <w:sz w:val="18"/>
          <w:szCs w:val="18"/>
          <w:color w:val="auto"/>
        </w:rPr>
      </w:pPr>
    </w:p>
    <w:p>
      <w:pPr>
        <w:ind w:right="200" w:firstLine="881"/>
        <w:spacing w:after="0" w:line="282" w:lineRule="auto"/>
        <w:tabs>
          <w:tab w:leader="none" w:pos="114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and the Committee will establish and carry out a funding policy and methods consistent with the objectives of the Plan and the requirements of ERISA.</w:t>
      </w:r>
    </w:p>
    <w:p>
      <w:pPr>
        <w:spacing w:after="0" w:line="49" w:lineRule="exact"/>
        <w:rPr>
          <w:rFonts w:ascii="Times New Roman" w:cs="Times New Roman" w:eastAsia="Times New Roman" w:hAnsi="Times New Roman"/>
          <w:sz w:val="18"/>
          <w:szCs w:val="18"/>
          <w:color w:val="auto"/>
        </w:rPr>
      </w:pPr>
    </w:p>
    <w:p>
      <w:pPr>
        <w:ind w:left="700" w:hanging="239"/>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Investment of Accounts</w:t>
      </w:r>
    </w:p>
    <w:p>
      <w:pPr>
        <w:spacing w:after="0" w:line="121" w:lineRule="exact"/>
        <w:rPr>
          <w:rFonts w:ascii="Times New Roman" w:cs="Times New Roman" w:eastAsia="Times New Roman" w:hAnsi="Times New Roman"/>
          <w:sz w:val="18"/>
          <w:szCs w:val="18"/>
          <w:color w:val="auto"/>
        </w:rPr>
      </w:pPr>
    </w:p>
    <w:p>
      <w:pPr>
        <w:ind w:firstLine="881"/>
        <w:spacing w:after="0" w:line="256" w:lineRule="auto"/>
        <w:tabs>
          <w:tab w:leader="none" w:pos="109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or, as delegated by the Administrator, the Committee, may establish such different Investment Funds as it from time to time determines to be necessary or advisable for the investment of Participants’ Accounts, including Investment Funds pursuant to which Accounts can be invested in “qualifying employer securities,” as defined in Part 4 of Title I of ERISA. Each Investment Fund will have the investment objective or objectives established by the Administrator or Committee. Except to the extent investment responsibility is expressly reserved in another person, the Administrator or the Committee, in its sole discretion, will determine what percentage of the Plan assets is to be invested in qualifying employer securities. The percentage designated by the Administrator can exceed ten percent of the Plan’s assets, up to a maximum of all of the Plan’s assets.</w:t>
      </w:r>
    </w:p>
    <w:p>
      <w:pPr>
        <w:spacing w:after="0" w:line="79" w:lineRule="exact"/>
        <w:rPr>
          <w:rFonts w:ascii="Times New Roman" w:cs="Times New Roman" w:eastAsia="Times New Roman" w:hAnsi="Times New Roman"/>
          <w:sz w:val="18"/>
          <w:szCs w:val="18"/>
          <w:color w:val="auto"/>
        </w:rPr>
      </w:pPr>
    </w:p>
    <w:p>
      <w:pPr>
        <w:ind w:right="280" w:firstLine="881"/>
        <w:spacing w:after="0" w:line="266" w:lineRule="auto"/>
        <w:tabs>
          <w:tab w:leader="none" w:pos="114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Subsection (c)(iii), the Administrator or, as delegated by the Administrator, the Committee, may in its sole discretion permit Participants to determine the portion of their Accounts that will be invested in each Investment Fund. The frequency with which a Participant may change his or her investment election concerning</w:t>
      </w:r>
    </w:p>
    <w:p>
      <w:pPr>
        <w:spacing w:after="0" w:line="10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00"/>
          </w:cols>
          <w:pgMar w:left="700" w:top="266" w:right="299" w:bottom="1440" w:gutter="0" w:footer="0" w:header="0"/>
        </w:sectPr>
      </w:pPr>
    </w:p>
    <w:bookmarkStart w:id="47" w:name="page48"/>
    <w:bookmarkEnd w:id="47"/>
    <w:p>
      <w:pPr>
        <w:jc w:val="both"/>
        <w:ind w:left="460"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future Pre-Tax Contributions or his or her existing Account will be governed by uniform, nondiscriminatory rules established by the Administrator or the Committee. Except for amounts governed by Subsection (c)(iii) below, the Plan is intended to comply with and be governed by Section 404(c) of ERISA.</w:t>
      </w:r>
    </w:p>
    <w:p>
      <w:pPr>
        <w:spacing w:after="0" w:line="68" w:lineRule="exact"/>
        <w:rPr>
          <w:sz w:val="20"/>
          <w:szCs w:val="20"/>
          <w:color w:val="auto"/>
        </w:rPr>
      </w:pPr>
    </w:p>
    <w:p>
      <w:pPr>
        <w:ind w:left="460" w:right="60" w:firstLine="881"/>
        <w:spacing w:after="0" w:line="256" w:lineRule="auto"/>
        <w:tabs>
          <w:tab w:leader="none" w:pos="165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Subsection (c)(ii), Company Contributions must be invested in the Stock Fund, and may not be invested in any other Investment Fund. Also notwithstanding Subsection (b), a Participant may transfer amounts out of the Stock Fund only if he or she is at least 55 years old, and no more frequently than once per year. Effective October 1, 1999, a Participant may transfer Basic Contributions out of the Stock Fund only if he or she is at least 50 years old, and no more frequently than once per year. Also, effective October 1, 1999, a Participant may transfer supplemental contributions (employee contributions to the Plan that are not matched) and Rollover Contributions Out of the Stock Fund as frequently as he may transfer out of any other Investment Fund.</w:t>
      </w:r>
    </w:p>
    <w:p>
      <w:pPr>
        <w:spacing w:after="0" w:line="75"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Valuation of Accounts</w:t>
      </w:r>
    </w:p>
    <w:p>
      <w:pPr>
        <w:spacing w:after="0" w:line="121" w:lineRule="exact"/>
        <w:rPr>
          <w:sz w:val="20"/>
          <w:szCs w:val="20"/>
          <w:color w:val="auto"/>
        </w:rPr>
      </w:pPr>
    </w:p>
    <w:p>
      <w:pPr>
        <w:ind w:firstLine="1484"/>
        <w:spacing w:after="0" w:line="258" w:lineRule="auto"/>
        <w:rPr>
          <w:sz w:val="20"/>
          <w:szCs w:val="20"/>
          <w:color w:val="auto"/>
        </w:rPr>
      </w:pPr>
      <w:r>
        <w:rPr>
          <w:rFonts w:ascii="Times New Roman" w:cs="Times New Roman" w:eastAsia="Times New Roman" w:hAnsi="Times New Roman"/>
          <w:sz w:val="18"/>
          <w:szCs w:val="18"/>
          <w:color w:val="auto"/>
        </w:rPr>
        <w:t>A Participant’s Accounts will be revalued at fair market value on each Valuation Date. On each Valuation Date, the earnings and losses of the Trust will be allocated to each Participant’s Account in the ratio that his or her total Account Balance bears to all Account Balances. Notwithstanding the foregoing, if the Administrator or Committee establishes Investment Funds pursuant to Subsection (c) above, the earnings and losses of the particular Investment Funds will be allocated in the ratio that the portion of each Participant’s account invested in a particular Investment Fund bears to the total amount invested in that fund. If and to the extent the rules of any Investment Fund require a different valuation, those rules will be applied.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270" w:right="259" w:bottom="1440" w:gutter="0" w:footer="0" w:header="0"/>
        </w:sectPr>
      </w:pPr>
    </w:p>
    <w:bookmarkStart w:id="48" w:name="page49"/>
    <w:bookmarkEnd w:id="48"/>
    <w:p>
      <w:pPr>
        <w:ind w:left="1160" w:hanging="239"/>
        <w:spacing w:after="0"/>
        <w:tabs>
          <w:tab w:leader="none" w:pos="11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w:t>
      </w:r>
    </w:p>
    <w:p>
      <w:pPr>
        <w:spacing w:after="0" w:line="121" w:lineRule="exact"/>
        <w:rPr>
          <w:sz w:val="20"/>
          <w:szCs w:val="20"/>
          <w:color w:val="auto"/>
        </w:rPr>
      </w:pPr>
    </w:p>
    <w:p>
      <w:pPr>
        <w:jc w:val="both"/>
        <w:ind w:right="80" w:firstLine="1484"/>
        <w:spacing w:after="0" w:line="266" w:lineRule="auto"/>
        <w:rPr>
          <w:sz w:val="20"/>
          <w:szCs w:val="20"/>
          <w:color w:val="auto"/>
        </w:rPr>
      </w:pPr>
      <w:r>
        <w:rPr>
          <w:rFonts w:ascii="Times New Roman" w:cs="Times New Roman" w:eastAsia="Times New Roman" w:hAnsi="Times New Roman"/>
          <w:sz w:val="18"/>
          <w:szCs w:val="18"/>
          <w:color w:val="auto"/>
        </w:rPr>
        <w:t>Each person providing services to the Plan will be paid such reasonable compensation as is from time to time agreed upon between the Company and that service provider, and will have his, her or its expenses reimbursed. Notwithstanding the foregoing, no person who is an Employee will be paid any compensation for his or her services to the Plan.</w:t>
      </w:r>
    </w:p>
    <w:p>
      <w:pPr>
        <w:spacing w:after="0" w:line="64" w:lineRule="exact"/>
        <w:rPr>
          <w:sz w:val="20"/>
          <w:szCs w:val="20"/>
          <w:color w:val="auto"/>
        </w:rPr>
      </w:pPr>
    </w:p>
    <w:p>
      <w:pPr>
        <w:ind w:left="1140" w:hanging="219"/>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Delegation of Responsibility</w:t>
      </w:r>
    </w:p>
    <w:p>
      <w:pPr>
        <w:spacing w:after="0" w:line="121" w:lineRule="exact"/>
        <w:rPr>
          <w:sz w:val="20"/>
          <w:szCs w:val="20"/>
          <w:color w:val="auto"/>
        </w:rPr>
      </w:pPr>
    </w:p>
    <w:p>
      <w:pPr>
        <w:ind w:firstLine="1484"/>
        <w:spacing w:after="0" w:line="255" w:lineRule="auto"/>
        <w:rPr>
          <w:sz w:val="20"/>
          <w:szCs w:val="20"/>
          <w:color w:val="auto"/>
        </w:rPr>
      </w:pPr>
      <w:r>
        <w:rPr>
          <w:rFonts w:ascii="Times New Roman" w:cs="Times New Roman" w:eastAsia="Times New Roman" w:hAnsi="Times New Roman"/>
          <w:sz w:val="18"/>
          <w:szCs w:val="18"/>
          <w:color w:val="auto"/>
        </w:rPr>
        <w:t>The Administrator and the Committee may designate by written instrument one or more actuaries, accountants or consultants as fiduciaries to carry out, where appropriate, their administrative responsibilities, including their fiduciary duties. The Committee may from time to time allocate or delegate to any subcommittee, member of the Committee and others, not necessarily employees of the Company, any of its duties relative to compliance with ERISA, administration of the Plan and other related matters, including those involving the exercise of discretion. The Company’s duties and responsibilities under the Plan will be carried out by its directors, officers and employees, acting on behalf of and in the name of the Company in their capacities as directors, officers and employees, and not as individual fiduciaries. No director, officer or employee of the Company will be a fiduciary with respect to the Plan unless he or she is specifically so designated and expressly accepts such designation.</w:t>
      </w:r>
    </w:p>
    <w:p>
      <w:pPr>
        <w:spacing w:after="0" w:line="77" w:lineRule="exact"/>
        <w:rPr>
          <w:sz w:val="20"/>
          <w:szCs w:val="20"/>
          <w:color w:val="auto"/>
        </w:rPr>
      </w:pPr>
    </w:p>
    <w:p>
      <w:pPr>
        <w:ind w:left="1180" w:hanging="259"/>
        <w:spacing w:after="0"/>
        <w:tabs>
          <w:tab w:leader="none" w:pos="1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Committee Members</w:t>
      </w:r>
    </w:p>
    <w:p>
      <w:pPr>
        <w:spacing w:after="0" w:line="121" w:lineRule="exact"/>
        <w:rPr>
          <w:sz w:val="20"/>
          <w:szCs w:val="20"/>
          <w:color w:val="auto"/>
        </w:rPr>
      </w:pPr>
    </w:p>
    <w:p>
      <w:pPr>
        <w:ind w:right="60" w:firstLine="1484"/>
        <w:spacing w:after="0" w:line="256" w:lineRule="auto"/>
        <w:rPr>
          <w:sz w:val="20"/>
          <w:szCs w:val="20"/>
          <w:color w:val="auto"/>
        </w:rPr>
      </w:pPr>
      <w:r>
        <w:rPr>
          <w:rFonts w:ascii="Times New Roman" w:cs="Times New Roman" w:eastAsia="Times New Roman" w:hAnsi="Times New Roman"/>
          <w:sz w:val="18"/>
          <w:szCs w:val="18"/>
          <w:color w:val="auto"/>
        </w:rPr>
        <w:t>The Committee will consist of at least three people, who need not be directors, and will be appointed by the Chief Executive Officer of FMC. Any Committee member may resign and the Chief Executive Officer may remove any Committee member, with or without cause, at any time. A majority of the members of the Committee will constitute a quorum for the transaction of business, and the act of a majority of the Committee members at a meeting at which a quorum is present will be an act of the Committee. The Committee can act by written consent signed by all of its members. Any member of the Committee who is an Employee cannot receive compensation for his or her services for the Committee. No Committee member will be entitled to act on or decide any matter relating solely to his or her status as a Participant.</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40"/>
          </w:cols>
          <w:pgMar w:left="240" w:top="266" w:right="319" w:bottom="1440" w:gutter="0" w:footer="0" w:header="0"/>
        </w:sectPr>
      </w:pPr>
    </w:p>
    <w:bookmarkStart w:id="49" w:name="page50"/>
    <w:bookmarkEnd w:id="49"/>
    <w:p>
      <w:pPr>
        <w:ind w:left="1180" w:hanging="259"/>
        <w:spacing w:after="0"/>
        <w:tabs>
          <w:tab w:leader="none" w:pos="1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Appointments of Trustee</w:t>
      </w:r>
    </w:p>
    <w:p>
      <w:pPr>
        <w:spacing w:after="0" w:line="121" w:lineRule="exact"/>
        <w:rPr>
          <w:sz w:val="20"/>
          <w:szCs w:val="20"/>
          <w:color w:val="auto"/>
        </w:rPr>
      </w:pPr>
    </w:p>
    <w:p>
      <w:pPr>
        <w:ind w:firstLine="1484"/>
        <w:spacing w:after="0" w:line="258" w:lineRule="auto"/>
        <w:rPr>
          <w:sz w:val="20"/>
          <w:szCs w:val="20"/>
          <w:color w:val="auto"/>
        </w:rPr>
      </w:pPr>
      <w:r>
        <w:rPr>
          <w:rFonts w:ascii="Times New Roman" w:cs="Times New Roman" w:eastAsia="Times New Roman" w:hAnsi="Times New Roman"/>
          <w:sz w:val="18"/>
          <w:szCs w:val="18"/>
          <w:color w:val="auto"/>
        </w:rPr>
        <w:t>The Committee or its authorized delegate will appoint the Trustee and either may remove it. The Trustee accepts its appointment by executing the trust agreement. A Trustee will be subject to direction by the Committee or its authorized delegate or, to the extent specified by the Company, by an investment manager or other funding agent, and will have the degree of discretion to manage and control Plan assets specified in the trust agreement. Neither the Administrator nor the Committee, nor any other Plan fiduciary will be liable for any act or omission to act of a Trustee, as to duties delegated to the Trustee. Any Trustee appointed under this Section 13 will be an institution.</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20"/>
          </w:cols>
          <w:pgMar w:left="240" w:top="266" w:right="439" w:bottom="1440" w:gutter="0" w:footer="0" w:header="0"/>
        </w:sectPr>
      </w:pPr>
    </w:p>
    <w:bookmarkStart w:id="50" w:name="page51"/>
    <w:bookmarkEnd w:id="50"/>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14. </w:t>
      </w:r>
      <w:r>
        <w:rPr>
          <w:rFonts w:ascii="Times New Roman" w:cs="Times New Roman" w:eastAsia="Times New Roman" w:hAnsi="Times New Roman"/>
          <w:sz w:val="18"/>
          <w:szCs w:val="18"/>
          <w:b w:val="1"/>
          <w:bCs w:val="1"/>
          <w:u w:val="single" w:color="auto"/>
          <w:color w:val="auto"/>
        </w:rPr>
        <w:t>FUNDING OF THE PLAN</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20" w:right="160" w:firstLine="921"/>
        <w:spacing w:after="0" w:line="259" w:lineRule="auto"/>
        <w:tabs>
          <w:tab w:leader="none" w:pos="113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Funding Policy and Method</w:t>
      </w:r>
      <w:r>
        <w:rPr>
          <w:rFonts w:ascii="Times New Roman" w:cs="Times New Roman" w:eastAsia="Times New Roman" w:hAnsi="Times New Roman"/>
          <w:sz w:val="18"/>
          <w:szCs w:val="18"/>
          <w:color w:val="auto"/>
        </w:rPr>
        <w:t>. The Committee or its authorized delegate from time to time shall estimate the benefits, withdrawals,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expenses to be paid out of the Trust Fund in cash during the period for which the estimate is made and shall also estimate the contributions to be made to the Plan during such period by Participants and by the Company. The Committee or its authorized delegate shall inform the Trustee of the estimated cash needs of and contributions to the Plan during the period for which such estimates are made. Such estimates shall be made on an annual, quarterly, monthly, or other basis, as the Committee or its authorized delegate shall determine.</w:t>
      </w:r>
    </w:p>
    <w:p>
      <w:pPr>
        <w:spacing w:after="0" w:line="71" w:lineRule="exact"/>
        <w:rPr>
          <w:rFonts w:ascii="Times New Roman" w:cs="Times New Roman" w:eastAsia="Times New Roman" w:hAnsi="Times New Roman"/>
          <w:sz w:val="18"/>
          <w:szCs w:val="18"/>
          <w:color w:val="auto"/>
        </w:rPr>
      </w:pPr>
    </w:p>
    <w:p>
      <w:pPr>
        <w:jc w:val="both"/>
        <w:ind w:left="-20" w:right="440" w:firstLine="921"/>
        <w:spacing w:after="0" w:line="262" w:lineRule="auto"/>
        <w:tabs>
          <w:tab w:leader="none" w:pos="114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Public Accountant</w:t>
      </w:r>
      <w:r>
        <w:rPr>
          <w:rFonts w:ascii="Times New Roman" w:cs="Times New Roman" w:eastAsia="Times New Roman" w:hAnsi="Times New Roman"/>
          <w:sz w:val="18"/>
          <w:szCs w:val="18"/>
          <w:color w:val="auto"/>
        </w:rPr>
        <w:t>. The Committee or its authorized delegate shall engage an independent qualified public accountant to conduct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examinations and to render such opinions as are required by Section 103(a)(3) of ERISA. The Committee or its authorized delegate in its discretion may remove and discharge the person so engaged, but in such case it shall engage a successor independent qualified public accountant to perform such examinations and to render such opinions.</w:t>
      </w:r>
    </w:p>
    <w:p>
      <w:pPr>
        <w:spacing w:after="0" w:line="68" w:lineRule="exact"/>
        <w:rPr>
          <w:rFonts w:ascii="Times New Roman" w:cs="Times New Roman" w:eastAsia="Times New Roman" w:hAnsi="Times New Roman"/>
          <w:sz w:val="18"/>
          <w:szCs w:val="18"/>
          <w:color w:val="auto"/>
        </w:rPr>
      </w:pPr>
    </w:p>
    <w:p>
      <w:pPr>
        <w:ind w:left="-20" w:right="60" w:firstLine="921"/>
        <w:spacing w:after="0" w:line="259" w:lineRule="auto"/>
        <w:tabs>
          <w:tab w:leader="none" w:pos="113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Basis of Payments to the Plan</w:t>
      </w:r>
      <w:r>
        <w:rPr>
          <w:rFonts w:ascii="Times New Roman" w:cs="Times New Roman" w:eastAsia="Times New Roman" w:hAnsi="Times New Roman"/>
          <w:sz w:val="18"/>
          <w:szCs w:val="18"/>
          <w:color w:val="auto"/>
        </w:rPr>
        <w:t>. Each Participant whose participation is not suspended may elect to have the Company make Pre-Tax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Contributions as provided in Section 3. The Company shall make Company Contributions as provided in Section 4; provided, however, that this obligation of the Company shall cease when the Plan is terminated. In the case of a partial termination of the Plan, this obligation shall cease with respect to the Participants and Beneficiaries who are affected by such partial termination. All Pre-Tax Contributions and all Company Contributions shall be paid to the Trustee within the periods of time specified herein.</w:t>
      </w:r>
    </w:p>
    <w:p>
      <w:pPr>
        <w:spacing w:after="0" w:line="71" w:lineRule="exact"/>
        <w:rPr>
          <w:rFonts w:ascii="Times New Roman" w:cs="Times New Roman" w:eastAsia="Times New Roman" w:hAnsi="Times New Roman"/>
          <w:sz w:val="18"/>
          <w:szCs w:val="18"/>
          <w:color w:val="auto"/>
        </w:rPr>
      </w:pPr>
    </w:p>
    <w:p>
      <w:pPr>
        <w:ind w:left="-20" w:firstLine="921"/>
        <w:spacing w:after="0" w:line="268" w:lineRule="auto"/>
        <w:tabs>
          <w:tab w:leader="none" w:pos="114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Basis of Payments from the Plan</w:t>
      </w:r>
      <w:r>
        <w:rPr>
          <w:rFonts w:ascii="Times New Roman" w:cs="Times New Roman" w:eastAsia="Times New Roman" w:hAnsi="Times New Roman"/>
          <w:sz w:val="18"/>
          <w:szCs w:val="18"/>
          <w:color w:val="auto"/>
        </w:rPr>
        <w:t>. All benefits and withdrawals payable under the Plan shall be paid by the Trustee pursuant to the directions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Administrator or the Committee and the terms of the Trust Agreement. The Trustee shall pay all expenses of the Plan out of the Trust Fund, except to the extent paid by the Participating Companies.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60" w:top="266" w:right="239" w:bottom="1440" w:gutter="0" w:footer="0" w:header="0"/>
        </w:sectPr>
      </w:pPr>
    </w:p>
    <w:bookmarkStart w:id="51" w:name="page52"/>
    <w:bookmarkEnd w:id="51"/>
    <w:p>
      <w:pPr>
        <w:ind w:right="220" w:firstLine="921"/>
        <w:spacing w:after="0" w:line="259" w:lineRule="auto"/>
        <w:tabs>
          <w:tab w:leader="none" w:pos="115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 of Trust Assets</w:t>
      </w:r>
      <w:r>
        <w:rPr>
          <w:rFonts w:ascii="Times New Roman" w:cs="Times New Roman" w:eastAsia="Times New Roman" w:hAnsi="Times New Roman"/>
          <w:sz w:val="18"/>
          <w:szCs w:val="18"/>
          <w:color w:val="auto"/>
        </w:rPr>
        <w:t>. The Trustee shall invest in the Investment Funds all amounts which are paid to it with respect to the Plan,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amount of any administrative expenses payable out of the Trust Fund under Subsection 14(d) above. Company Contributions shall be invested in the Stock Fund, and dividends or other earnings attributable thereto shall be allocated and credited pro rata to shares held by the Participant. Pre-Tax Contributions, the After-Tax Contributions, and the Rollover Contributions shall be invested in the Investment Funds pursuant to the directions of the Participants as conveyed to the Trustee by the Administrator.</w:t>
      </w:r>
    </w:p>
    <w:p>
      <w:pPr>
        <w:spacing w:after="0" w:line="184" w:lineRule="exact"/>
        <w:rPr>
          <w:sz w:val="20"/>
          <w:szCs w:val="20"/>
          <w:color w:val="auto"/>
        </w:rPr>
      </w:pPr>
    </w:p>
    <w:p>
      <w:pPr>
        <w:ind w:firstLine="1484"/>
        <w:spacing w:after="0" w:line="258" w:lineRule="auto"/>
        <w:rPr>
          <w:sz w:val="20"/>
          <w:szCs w:val="20"/>
          <w:color w:val="auto"/>
        </w:rPr>
      </w:pPr>
      <w:r>
        <w:rPr>
          <w:rFonts w:ascii="Times New Roman" w:cs="Times New Roman" w:eastAsia="Times New Roman" w:hAnsi="Times New Roman"/>
          <w:sz w:val="18"/>
          <w:szCs w:val="18"/>
          <w:color w:val="auto"/>
        </w:rPr>
        <w:t>The Committee shall have the sole discretion to determine the different Investment Fund choices to be made available to Participants. Pending investment in Stock, the Trustee may invest any amounts to be placed in the Stock Fund in short-term, interest-bearing debt obligations, including (without limitation, except as stated) savings accounts, certificates of deposit, banker’s acceptances, commercial paper of institutions having a short-term commercial paper rating of A-l, P-l for Standards &amp; Poor’s and Moody’s and United States Treasury Bills and Notes. The form of such temporary investments shall be that one directed by the Administrator or, as delegated by the Administrator, the Committee.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266" w:right="239" w:bottom="1440" w:gutter="0" w:footer="0" w:header="0"/>
        </w:sectPr>
      </w:pPr>
    </w:p>
    <w:bookmarkStart w:id="52" w:name="page53"/>
    <w:bookmarkEnd w:id="52"/>
    <w:p>
      <w:pPr>
        <w:ind w:left="3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15. </w:t>
      </w:r>
      <w:r>
        <w:rPr>
          <w:rFonts w:ascii="Times New Roman" w:cs="Times New Roman" w:eastAsia="Times New Roman" w:hAnsi="Times New Roman"/>
          <w:sz w:val="18"/>
          <w:szCs w:val="18"/>
          <w:b w:val="1"/>
          <w:bCs w:val="1"/>
          <w:u w:val="single" w:color="auto"/>
          <w:color w:val="auto"/>
        </w:rPr>
        <w:t>PARTICIPANTS’ ACCOUNTS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firstLine="921"/>
        <w:spacing w:after="0" w:line="259" w:lineRule="auto"/>
        <w:tabs>
          <w:tab w:leader="none" w:pos="103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Participants’ Accounts</w:t>
      </w:r>
      <w:r>
        <w:rPr>
          <w:rFonts w:ascii="Times New Roman" w:cs="Times New Roman" w:eastAsia="Times New Roman" w:hAnsi="Times New Roman"/>
          <w:sz w:val="18"/>
          <w:szCs w:val="18"/>
          <w:color w:val="auto"/>
        </w:rPr>
        <w:t>. For each Participant, the Company will maintain, where applicable, an After-Tax Contributions Account, a Pre-Tax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Contributions Account, a Rollover Contribution Account and a Company Contributions Account. The amount of Pre-Tax Contributions and After-Tax Contributions (if any) withheld from the Participant’s Regular Compensation during the Plan Year will be allocated to each Participant’s Pre-Tax Contributions Account and After-Tax Contributions Account as of the end of each calendar month and the Company Contribution for each Participant for each Plan Year will be allocated to her Company Contributions Account as of the end of each calendar month.</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80"/>
          </w:cols>
          <w:pgMar w:left="360" w:top="266" w:right="359" w:bottom="1440" w:gutter="0" w:footer="0" w:header="0"/>
        </w:sectPr>
      </w:pPr>
    </w:p>
    <w:bookmarkStart w:id="53" w:name="page54"/>
    <w:bookmarkEnd w:id="53"/>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16. </w:t>
      </w:r>
      <w:r>
        <w:rPr>
          <w:rFonts w:ascii="Times New Roman" w:cs="Times New Roman" w:eastAsia="Times New Roman" w:hAnsi="Times New Roman"/>
          <w:sz w:val="18"/>
          <w:szCs w:val="18"/>
          <w:b w:val="1"/>
          <w:bCs w:val="1"/>
          <w:u w:val="single" w:color="auto"/>
          <w:color w:val="auto"/>
        </w:rPr>
        <w:t>AMENDMENT AND TERMINATION OF THE PLAN.</w:t>
      </w:r>
    </w:p>
    <w:p>
      <w:pPr>
        <w:spacing w:after="0" w:line="117" w:lineRule="exact"/>
        <w:rPr>
          <w:sz w:val="20"/>
          <w:szCs w:val="20"/>
          <w:color w:val="auto"/>
        </w:rPr>
      </w:pPr>
    </w:p>
    <w:p>
      <w:pPr>
        <w:ind w:left="-20" w:right="680" w:firstLine="921"/>
        <w:spacing w:after="0" w:line="286" w:lineRule="auto"/>
        <w:tabs>
          <w:tab w:leader="none" w:pos="113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Future of the Plan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expects to continue the Plan indefinitely. Future conditions, however, cannot be foreseen,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retains the authority to amend or to terminate the Plan at any time and for any reason.</w:t>
      </w:r>
    </w:p>
    <w:p>
      <w:pPr>
        <w:spacing w:after="0" w:line="46" w:lineRule="exact"/>
        <w:rPr>
          <w:rFonts w:ascii="Times New Roman" w:cs="Times New Roman" w:eastAsia="Times New Roman" w:hAnsi="Times New Roman"/>
          <w:sz w:val="18"/>
          <w:szCs w:val="18"/>
          <w:color w:val="auto"/>
        </w:rPr>
      </w:pPr>
    </w:p>
    <w:p>
      <w:pPr>
        <w:ind w:left="-20" w:right="80" w:firstLine="921"/>
        <w:spacing w:after="0" w:line="259" w:lineRule="auto"/>
        <w:tabs>
          <w:tab w:leader="none" w:pos="11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No amendment of the Plan shall (i) reduce the benefit of any Participant accrued under the Plan before such amendment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adopted or (ii) divert any part of the assets of the Plan to purposes other than the exclusive purpose of providing benefits to the Participants and Beneficiaries who have an interest in the Plan and of defraying the reasonable expenses of administering the Plan and the Trust Fund. For the purposes of this Section, a Plan amendment which has the effect of eliminating or reducing an early retirement benefit or eliminating an optional form of benefit (as provided in Treasury regulations) shall be treated as reducing the benefit of a Participant accrued under the Plan.</w:t>
      </w:r>
    </w:p>
    <w:p>
      <w:pPr>
        <w:spacing w:after="0" w:line="71" w:lineRule="exact"/>
        <w:rPr>
          <w:rFonts w:ascii="Times New Roman" w:cs="Times New Roman" w:eastAsia="Times New Roman" w:hAnsi="Times New Roman"/>
          <w:sz w:val="18"/>
          <w:szCs w:val="18"/>
          <w:color w:val="auto"/>
        </w:rPr>
      </w:pPr>
    </w:p>
    <w:p>
      <w:pPr>
        <w:ind w:left="-20" w:firstLine="921"/>
        <w:spacing w:after="0" w:line="255" w:lineRule="auto"/>
        <w:tabs>
          <w:tab w:leader="none" w:pos="113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of the Plan</w:t>
      </w:r>
      <w:r>
        <w:rPr>
          <w:rFonts w:ascii="Times New Roman" w:cs="Times New Roman" w:eastAsia="Times New Roman" w:hAnsi="Times New Roman"/>
          <w:sz w:val="18"/>
          <w:szCs w:val="18"/>
          <w:color w:val="auto"/>
        </w:rPr>
        <w:t>. Upon termination of the Plan, no part of the Trust Fund shall revert to the Company or be used for or diverted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other than the exclusive purpose of providing benefits to the Participants and Beneficiaries who have an interest in the Plan and of defraying the reasonable expenses of administering the Plan and such termination. Upon termination of the Plan or upon complete discontinuance of Company Contributions, each Participant shall become vested in his entire Company Contributions Account. Upon termination of the Plan, the Trust shall continue until the Trust Fund has been distributed as provided in Subsection 16(d) below. Any other provision hereof notwithstanding, the Company shall have no obligation to continue contributions to the Plan after termination of the Plan. Except as otherwise provided in ERISA, neither the Company nor any other person shall have any liability or obligation to provide benefits hereunder after such termination. Upon such termination, Participants and Beneficiaries shall obtain benefits solely from the Trust Fund. Upon partial termination of the Plan, this Subsection 16(c) shall apply only with respect to such Participants and Beneficiaries as are affected by such partial termination.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60" w:top="266" w:right="259" w:bottom="1440" w:gutter="0" w:footer="0" w:header="0"/>
        </w:sectPr>
      </w:pPr>
    </w:p>
    <w:bookmarkStart w:id="54" w:name="page55"/>
    <w:bookmarkEnd w:id="54"/>
    <w:p>
      <w:pPr>
        <w:ind w:left="-180" w:firstLine="921"/>
        <w:spacing w:after="0" w:line="286" w:lineRule="auto"/>
        <w:tabs>
          <w:tab w:leader="none" w:pos="98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Allocation of Trust Fund Upon Termination</w:t>
      </w:r>
      <w:r>
        <w:rPr>
          <w:rFonts w:ascii="Times New Roman" w:cs="Times New Roman" w:eastAsia="Times New Roman" w:hAnsi="Times New Roman"/>
          <w:sz w:val="18"/>
          <w:szCs w:val="18"/>
          <w:color w:val="auto"/>
        </w:rPr>
        <w:t>. Upon termination of the Plan, the interest of each Participant in the Plan shall be distributed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him as provided herein, subject to Section 403(d)(1) of ERISA.</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60"/>
          </w:cols>
          <w:pgMar w:left="420" w:top="266" w:right="4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17. </w:t>
      </w:r>
      <w:r>
        <w:rPr>
          <w:rFonts w:ascii="Times New Roman" w:cs="Times New Roman" w:eastAsia="Times New Roman" w:hAnsi="Times New Roman"/>
          <w:sz w:val="18"/>
          <w:szCs w:val="18"/>
          <w:b w:val="1"/>
          <w:bCs w:val="1"/>
          <w:u w:val="single" w:color="auto"/>
          <w:color w:val="auto"/>
        </w:rPr>
        <w:t>NONDISCRIMINATION REQUIREMENTS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700" w:hanging="239"/>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Nondiscrimination Requirements</w:t>
      </w:r>
    </w:p>
    <w:p>
      <w:pPr>
        <w:spacing w:after="0" w:line="12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For purposes of this Section, the terms listed below shall have the meaning indicated below, except as otherwise defined in Section 19:</w:t>
      </w:r>
    </w:p>
    <w:p>
      <w:pPr>
        <w:spacing w:after="0" w:line="113" w:lineRule="exact"/>
        <w:rPr>
          <w:sz w:val="20"/>
          <w:szCs w:val="20"/>
          <w:color w:val="auto"/>
        </w:rPr>
      </w:pPr>
    </w:p>
    <w:p>
      <w:pPr>
        <w:ind w:firstLine="881"/>
        <w:spacing w:after="0" w:line="278" w:lineRule="auto"/>
        <w:tabs>
          <w:tab w:leader="none" w:pos="1131"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ADP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fraction, the numerator of which is the amount of the contribution actually paid on behalf of the Participant (A)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Participant’s Pre-Tax Contributions Account (including Excess Deferrals of Highly Compensated Employees, but excluding Excess Deferrals of Lower Paid Employees that arise solely from Elective Deferrals made under the Plan or other plans of the Company) and, (B) to the extent so elected by the Company, to the Participant’s vested Company Contribution Account for the Plan Year and the denominator of which is the Participant’s Regular Compensation for the Plan Year. The ADP for any group of Participants is equivalent to the average of the ADPs of all Participants in that group.</w:t>
      </w:r>
    </w:p>
    <w:p>
      <w:pPr>
        <w:spacing w:after="0" w:line="60" w:lineRule="exact"/>
        <w:rPr>
          <w:sz w:val="20"/>
          <w:szCs w:val="20"/>
          <w:color w:val="auto"/>
        </w:rPr>
      </w:pPr>
    </w:p>
    <w:p>
      <w:pPr>
        <w:ind w:right="140" w:firstLine="1424"/>
        <w:spacing w:after="0" w:line="258" w:lineRule="auto"/>
        <w:rPr>
          <w:sz w:val="20"/>
          <w:szCs w:val="20"/>
          <w:color w:val="auto"/>
        </w:rPr>
      </w:pPr>
      <w:r>
        <w:rPr>
          <w:rFonts w:ascii="Times New Roman" w:cs="Times New Roman" w:eastAsia="Times New Roman" w:hAnsi="Times New Roman"/>
          <w:sz w:val="18"/>
          <w:szCs w:val="18"/>
          <w:color w:val="auto"/>
        </w:rPr>
        <w:t>If two or more plans which include cash or deferred arrangements are considered one plan for purposes of the nondiscrimination requirements of Section 1165(e)(4) of the Code or the eligibility requirements of Section 1165(a)(3) of the Code, the cash or deferred arrangements included in such plans shall be treated as one plan for purposes of determining the ADP. In the event any Highly Compensated Employee participates under two or more cash or deferred arrangements, all such cash or deferred arrangements shall be treated as one cash or deferred arrangement for purposes of determining the ADP with respect to such Employee.</w:t>
      </w:r>
    </w:p>
    <w:p>
      <w:pPr>
        <w:spacing w:after="0" w:line="72" w:lineRule="exact"/>
        <w:rPr>
          <w:sz w:val="20"/>
          <w:szCs w:val="20"/>
          <w:color w:val="auto"/>
        </w:rPr>
      </w:pPr>
    </w:p>
    <w:p>
      <w:pPr>
        <w:ind w:right="140" w:firstLine="881"/>
        <w:spacing w:after="0" w:line="268" w:lineRule="auto"/>
        <w:tabs>
          <w:tab w:leader="none" w:pos="113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Elective Deferral</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Participant, the sum of (A) any employer contribution under a qualified cash or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(as defined in Section 1165(e) of the Code) to the extent not includible in gross income for the taxable year under Section 1165(e) of the Code.</w:t>
      </w:r>
    </w:p>
    <w:p>
      <w:pPr>
        <w:spacing w:after="0" w:line="10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00"/>
          </w:cols>
          <w:pgMar w:left="700" w:top="266" w:right="299" w:bottom="1440" w:gutter="0" w:footer="0" w:header="0"/>
        </w:sectPr>
      </w:pPr>
    </w:p>
    <w:bookmarkStart w:id="56" w:name="page57"/>
    <w:bookmarkEnd w:id="56"/>
    <w:p>
      <w:pPr>
        <w:ind w:left="460" w:right="160" w:firstLine="881"/>
        <w:spacing w:after="0" w:line="259" w:lineRule="auto"/>
        <w:tabs>
          <w:tab w:leader="none" w:pos="159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Excess Contributions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Plan Year, the excess of: (A) the aggregate amount of Pre-Tax Contributions and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elected by the Employer, vested Company Contributions actually paid over to the Trust on behalf of Highly Compensated Employees who are Participants for such Plan Year, over (B) the maximum amount of such contributions permitted as determined under Subsection (b) (determined by reducing Pre-Tax Contributions made on behalf of Highly Compensated Employees in order of ADP beginning with the highest ADP, as set forth in Subsection (b)).</w:t>
      </w:r>
    </w:p>
    <w:p>
      <w:pPr>
        <w:spacing w:after="0" w:line="71" w:lineRule="exact"/>
        <w:rPr>
          <w:rFonts w:ascii="Times New Roman" w:cs="Times New Roman" w:eastAsia="Times New Roman" w:hAnsi="Times New Roman"/>
          <w:sz w:val="18"/>
          <w:szCs w:val="18"/>
          <w:color w:val="auto"/>
        </w:rPr>
      </w:pPr>
    </w:p>
    <w:p>
      <w:pPr>
        <w:ind w:left="460" w:right="80" w:firstLine="881"/>
        <w:spacing w:after="0" w:line="256" w:lineRule="auto"/>
        <w:tabs>
          <w:tab w:leader="none" w:pos="159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Excess Deferral</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amount of a Participant’s Elective Deferrals in excess of the lesser of: 10% of the Participant’s Regular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or $8,000 (or the maximum amount in effect pursuant to Section 1165(e)(7)(A) of the Code). Excess Deferrals, together with any income allocable to such deferrals, may be distributed from the Plan pursuant to a uniform and nondiscriminatory procedure established by the Company. A Participant may assign to the Plan any Excess Deferrals made during the taxable year of the Participant by notifying the Plan Administrator on or before February 15 following the close of the year in which the Excess Deferrals were made of the amount of Excess Deferrals to be assigned to the Plan. A Participant is deemed to notify the Plan Administrator of any Excess Deferrals that arise by taking into account only those Excess Deferrals made to the Plan and any other plans of the Employer.</w:t>
      </w:r>
    </w:p>
    <w:p>
      <w:pPr>
        <w:spacing w:after="0" w:line="75"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Lower Paid Employees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Employers who are eligible to participate in the Plan and who are not Highly Compensated Employees.</w:t>
      </w:r>
    </w:p>
    <w:p>
      <w:pPr>
        <w:spacing w:after="0" w:line="117"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Nondiscrimination Test for Pre-Tax Contributions</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no event may the ADP of the Highly Compensated Employees who are Participants</w:t>
      </w:r>
    </w:p>
    <w:p>
      <w:pPr>
        <w:spacing w:after="0" w:line="4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exceed:</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40"/>
          </w:cols>
          <w:pgMar w:left="240" w:top="266" w:right="319" w:bottom="1440" w:gutter="0" w:footer="0" w:header="0"/>
        </w:sectPr>
      </w:pPr>
    </w:p>
    <w:bookmarkStart w:id="57" w:name="page58"/>
    <w:bookmarkEnd w:id="57"/>
    <w:p>
      <w:pPr>
        <w:ind w:left="1600" w:hanging="259"/>
        <w:spacing w:after="0"/>
        <w:tabs>
          <w:tab w:leader="none" w:pos="16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 times the ADP of the Lower Paid Employees who are Participants, if the Lower Paid Employees’ ADP is less than or equal to 2%;</w:t>
      </w:r>
    </w:p>
    <w:p>
      <w:pPr>
        <w:spacing w:after="0" w:line="117"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ADP of the Lower Paid Employees who are Participants plus 2%, if the Lower Paid Employees’ ADP is greater than 2% but less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than 8%; or</w:t>
      </w:r>
    </w:p>
    <w:p>
      <w:pPr>
        <w:spacing w:after="0" w:line="99" w:lineRule="exact"/>
        <w:rPr>
          <w:sz w:val="20"/>
          <w:szCs w:val="20"/>
          <w:color w:val="auto"/>
        </w:rPr>
      </w:pPr>
    </w:p>
    <w:p>
      <w:pPr>
        <w:ind w:left="1600" w:hanging="259"/>
        <w:spacing w:after="0"/>
        <w:tabs>
          <w:tab w:leader="none" w:pos="16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times the ADP of the Lower Paid Employees who are Participants, if the Lower Paid Employees’ ADP is 8% or more (“ADP</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w:t>
      </w:r>
    </w:p>
    <w:p>
      <w:pPr>
        <w:spacing w:after="0" w:line="207" w:lineRule="exact"/>
        <w:rPr>
          <w:sz w:val="20"/>
          <w:szCs w:val="20"/>
          <w:color w:val="auto"/>
        </w:rPr>
      </w:pPr>
    </w:p>
    <w:p>
      <w:pPr>
        <w:ind w:firstLine="1484"/>
        <w:spacing w:after="0" w:line="219" w:lineRule="auto"/>
        <w:rPr>
          <w:sz w:val="20"/>
          <w:szCs w:val="20"/>
          <w:color w:val="auto"/>
        </w:rPr>
      </w:pPr>
      <w:r>
        <w:rPr>
          <w:rFonts w:ascii="Times New Roman" w:cs="Times New Roman" w:eastAsia="Times New Roman" w:hAnsi="Times New Roman"/>
          <w:sz w:val="18"/>
          <w:szCs w:val="18"/>
          <w:color w:val="auto"/>
        </w:rPr>
        <w:t xml:space="preserve">In the event Excess Contributions exist after the determination of the ADP Requirement, the amount, if any, of such Excess Contributions for such Plan Year shall generally be distributed, together with any income allocable to such contributions, within two and one-half (2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2</w:t>
      </w:r>
      <w:r>
        <w:rPr>
          <w:rFonts w:ascii="Times New Roman" w:cs="Times New Roman" w:eastAsia="Times New Roman" w:hAnsi="Times New Roman"/>
          <w:sz w:val="18"/>
          <w:szCs w:val="18"/>
          <w:color w:val="auto"/>
        </w:rPr>
        <w:t>) months after the end of the Plan Year, to Participants on whose behalf such Excess Contributions were made for such Plan Year, but in no event shall such Excess Contributions and income be distributed later than the end of the Plan Year following the Plan Year in which such Excess Contributions were made.</w:t>
      </w:r>
    </w:p>
    <w:p>
      <w:pPr>
        <w:spacing w:after="0" w:line="199" w:lineRule="exact"/>
        <w:rPr>
          <w:sz w:val="20"/>
          <w:szCs w:val="20"/>
          <w:color w:val="auto"/>
        </w:rPr>
      </w:pPr>
    </w:p>
    <w:p>
      <w:pPr>
        <w:ind w:right="80" w:firstLine="1484"/>
        <w:spacing w:after="0" w:line="258" w:lineRule="auto"/>
        <w:rPr>
          <w:sz w:val="20"/>
          <w:szCs w:val="20"/>
          <w:color w:val="auto"/>
        </w:rPr>
      </w:pPr>
      <w:r>
        <w:rPr>
          <w:rFonts w:ascii="Times New Roman" w:cs="Times New Roman" w:eastAsia="Times New Roman" w:hAnsi="Times New Roman"/>
          <w:sz w:val="18"/>
          <w:szCs w:val="18"/>
          <w:color w:val="auto"/>
        </w:rPr>
        <w:t>Distribution of Excess Contributions, if any, for any Plan Year shall be made to Highly Compensated Employees who are Participants by leveling the highest ADP in accordance with Subsection (c) until the nondiscrimination test set forth in the first sentence of this Subsection is met. Notwithstanding the foregoing, the Company may amend or revoke its salary deferral agreements with Highly Compensated Employees who are Participants to the extent necessary to ensure compliance with the ADP Requirement or to ensure that no more than $8,000 (or the maximum amount in effect pursuant to Section 1165(e)(7)(A) of the Code), is deferred by any Participant for any taxable year of the Participant.</w:t>
      </w:r>
    </w:p>
    <w:p>
      <w:pPr>
        <w:spacing w:after="0" w:line="184" w:lineRule="exact"/>
        <w:rPr>
          <w:sz w:val="20"/>
          <w:szCs w:val="20"/>
          <w:color w:val="auto"/>
        </w:rPr>
      </w:pPr>
    </w:p>
    <w:p>
      <w:pPr>
        <w:jc w:val="both"/>
        <w:ind w:right="40" w:firstLine="1484"/>
        <w:spacing w:after="0" w:line="219" w:lineRule="auto"/>
        <w:rPr>
          <w:sz w:val="20"/>
          <w:szCs w:val="20"/>
          <w:color w:val="auto"/>
        </w:rPr>
      </w:pPr>
      <w:r>
        <w:rPr>
          <w:rFonts w:ascii="Times New Roman" w:cs="Times New Roman" w:eastAsia="Times New Roman" w:hAnsi="Times New Roman"/>
          <w:sz w:val="18"/>
          <w:szCs w:val="18"/>
          <w:color w:val="auto"/>
        </w:rPr>
        <w:t xml:space="preserve">Alternatively, to the extent provided in Article 1165-8(F)(3) of the regulations issued under the Code, the Company may elect or permit the Participant to elect to treat all or a portion of the Excess Contributions as an amount distributed to the Participant and the contributed by the Participant to the Plan as a After-Tax Contribution. Such recharacterization must be made within the first 2 </w:t>
      </w: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30"/>
          <w:szCs w:val="30"/>
          <w:color w:val="auto"/>
          <w:vertAlign w:val="subscript"/>
        </w:rPr>
        <w:t>2</w:t>
      </w:r>
      <w:r>
        <w:rPr>
          <w:rFonts w:ascii="Times New Roman" w:cs="Times New Roman" w:eastAsia="Times New Roman" w:hAnsi="Times New Roman"/>
          <w:sz w:val="18"/>
          <w:szCs w:val="18"/>
          <w:color w:val="auto"/>
        </w:rPr>
        <w:t xml:space="preserve"> months following the close of the year for which such Excess Contributions were made.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270" w:right="239" w:bottom="1440" w:gutter="0" w:footer="0" w:header="0"/>
        </w:sectPr>
      </w:pPr>
    </w:p>
    <w:bookmarkStart w:id="58" w:name="page59"/>
    <w:bookmarkEnd w:id="58"/>
    <w:p>
      <w:pPr>
        <w:ind w:right="360" w:firstLine="921"/>
        <w:spacing w:after="0" w:line="286" w:lineRule="auto"/>
        <w:tabs>
          <w:tab w:leader="none" w:pos="115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Leveling Method</w:t>
      </w:r>
      <w:r>
        <w:rPr>
          <w:rFonts w:ascii="Times New Roman" w:cs="Times New Roman" w:eastAsia="Times New Roman" w:hAnsi="Times New Roman"/>
          <w:sz w:val="18"/>
          <w:szCs w:val="18"/>
          <w:color w:val="auto"/>
        </w:rPr>
        <w:t>. The amount of Excess Contributions for a Highly Compensated Employee for a Plan Year is to be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leveling method, under which the ADP of the Highly Compensated Employee with the highest ADP is reduced to the extent required to:</w:t>
      </w:r>
    </w:p>
    <w:p>
      <w:pPr>
        <w:spacing w:after="0" w:line="50"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the arrangement to satisfy the ADP test or</w:t>
      </w:r>
    </w:p>
    <w:p>
      <w:pPr>
        <w:spacing w:after="0" w:line="117"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such Highly Compensated Employee’s ADP to equal the ratio of the Highly Compensated Employee with the next highest ADP.</w:t>
      </w:r>
    </w:p>
    <w:p>
      <w:pPr>
        <w:spacing w:after="0" w:line="23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process must be repeated until the Plan satisfies the ADP test. For each Highly Compensated Employee, the amount of Excess Contributions is equal to the total Pre-Tax Contributions and to the extent elected by the Company, vested Company Contributions, on behalf of the Highly Compensated Employee (determined prior to the application of this Subsection (c)) minus the amount determined by multiplying the Highly Compensated Employee’s ADP (determined after application of this subparagraph) by the Participant’s Regular Compensation used in determining such ratio.</w:t>
      </w:r>
    </w:p>
    <w:p>
      <w:pPr>
        <w:spacing w:after="0" w:line="68" w:lineRule="exact"/>
        <w:rPr>
          <w:sz w:val="20"/>
          <w:szCs w:val="20"/>
          <w:color w:val="auto"/>
        </w:rPr>
      </w:pPr>
    </w:p>
    <w:p>
      <w:pPr>
        <w:ind w:left="1180" w:hanging="259"/>
        <w:spacing w:after="0"/>
        <w:tabs>
          <w:tab w:leader="none" w:pos="11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Income Allocable to Excess Deferrals</w:t>
      </w:r>
    </w:p>
    <w:p>
      <w:pPr>
        <w:spacing w:after="0" w:line="117" w:lineRule="exact"/>
        <w:rPr>
          <w:rFonts w:ascii="Times New Roman" w:cs="Times New Roman" w:eastAsia="Times New Roman" w:hAnsi="Times New Roman"/>
          <w:sz w:val="18"/>
          <w:szCs w:val="18"/>
          <w:color w:val="auto"/>
        </w:rPr>
      </w:pPr>
    </w:p>
    <w:p>
      <w:pPr>
        <w:ind w:left="460" w:right="120" w:firstLine="881"/>
        <w:spacing w:after="0" w:line="268" w:lineRule="auto"/>
        <w:tabs>
          <w:tab w:leader="none" w:pos="159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Income Allocable to Excess Deferrals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income allocable to Excess Deferrals is equal to the sum of the allocable gain or loss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taxable year of the respective Participant and the allocable gain or loss for the period following the end of such taxable year until the date of the corrective distribution (the “gap period”). Income allocable to Excess Deferrals shall be computed by either</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20"/>
          </w:cols>
          <w:pgMar w:left="240" w:top="266" w:right="339" w:bottom="1440" w:gutter="0" w:footer="0" w:header="0"/>
        </w:sectPr>
      </w:pPr>
    </w:p>
    <w:bookmarkStart w:id="59" w:name="page60"/>
    <w:bookmarkEnd w:id="59"/>
    <w:p>
      <w:pPr>
        <w:ind w:firstLine="881"/>
        <w:spacing w:after="0" w:line="266" w:lineRule="auto"/>
        <w:tabs>
          <w:tab w:leader="none" w:pos="117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using a reasonable method which does not discriminate in favor of Highly Compensated Employees, is used consistently for all Participants and for all corrective distributions under the Plan for the taxable year, and is used by the Plan for allocating income among the accounts of Participants; or</w:t>
      </w:r>
    </w:p>
    <w:p>
      <w:pPr>
        <w:spacing w:after="0" w:line="68" w:lineRule="exact"/>
        <w:rPr>
          <w:rFonts w:ascii="Times New Roman" w:cs="Times New Roman" w:eastAsia="Times New Roman" w:hAnsi="Times New Roman"/>
          <w:sz w:val="18"/>
          <w:szCs w:val="18"/>
          <w:color w:val="auto"/>
        </w:rPr>
      </w:pPr>
    </w:p>
    <w:p>
      <w:pPr>
        <w:ind w:right="600" w:firstLine="881"/>
        <w:spacing w:after="0" w:line="282" w:lineRule="auto"/>
        <w:tabs>
          <w:tab w:leader="none" w:pos="116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multiplying the income for the taxable year and for the gap period which is allocable either to Pre-Tax Contributions or vested Company Contributions elected by the Company to be included in the numerator of the ADP, by a fraction-</w:t>
      </w:r>
    </w:p>
    <w:p>
      <w:pPr>
        <w:spacing w:after="0" w:line="53" w:lineRule="exact"/>
        <w:rPr>
          <w:rFonts w:ascii="Times New Roman" w:cs="Times New Roman" w:eastAsia="Times New Roman" w:hAnsi="Times New Roman"/>
          <w:sz w:val="18"/>
          <w:szCs w:val="18"/>
          <w:color w:val="auto"/>
        </w:rPr>
      </w:pPr>
    </w:p>
    <w:p>
      <w:pPr>
        <w:ind w:left="1640" w:hanging="211"/>
        <w:spacing w:after="0"/>
        <w:tabs>
          <w:tab w:leader="none" w:pos="164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is the Excess Deferrals by the Participant for the taxable year, and</w:t>
      </w:r>
    </w:p>
    <w:p>
      <w:pPr>
        <w:spacing w:after="0" w:line="117" w:lineRule="exact"/>
        <w:rPr>
          <w:rFonts w:ascii="Times New Roman" w:cs="Times New Roman" w:eastAsia="Times New Roman" w:hAnsi="Times New Roman"/>
          <w:sz w:val="18"/>
          <w:szCs w:val="18"/>
          <w:color w:val="auto"/>
        </w:rPr>
      </w:pPr>
    </w:p>
    <w:p>
      <w:pPr>
        <w:ind w:left="1700" w:hanging="271"/>
        <w:spacing w:after="0"/>
        <w:tabs>
          <w:tab w:leader="none" w:pos="170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is equal to the sum of</w:t>
      </w:r>
    </w:p>
    <w:p>
      <w:pPr>
        <w:spacing w:after="0" w:line="117" w:lineRule="exact"/>
        <w:rPr>
          <w:rFonts w:ascii="Times New Roman" w:cs="Times New Roman" w:eastAsia="Times New Roman" w:hAnsi="Times New Roman"/>
          <w:sz w:val="18"/>
          <w:szCs w:val="18"/>
          <w:color w:val="auto"/>
        </w:rPr>
      </w:pPr>
    </w:p>
    <w:p>
      <w:pPr>
        <w:ind w:left="680" w:hanging="219"/>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beginning of the taxable year, the Participant’s Pre-Tax Contribution Account, plus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(II) for the taxable year and the gap period, the Participant’s Pre-Tax Contributions.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income allocable to Excess Deferrals for the gap period may be calculated by multiplying ten percent (10%) of the income allocable to Excess Deferrals for the taxable year determined in accordance with subparagraph (B) of this Subsection 17(d)(1) (without taking into account income or contributions for the gap period), by the number of calendar months that have elapsed since the end of the taxable year. For the purpose of determining the number of calendar months that have elapsed since the end of the taxable year, a corrective distribution made on or before the fifteenth day of the month shall be treated as made on the last day of the preceding month and a distribution made after the fifteenth day of the month shall be treated as made on the first day of the next month.</w:t>
      </w:r>
    </w:p>
    <w:p>
      <w:pPr>
        <w:spacing w:after="0" w:line="12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860"/>
          </w:cols>
          <w:pgMar w:left="700" w:top="270" w:right="339" w:bottom="1440" w:gutter="0" w:footer="0" w:header="0"/>
        </w:sectPr>
      </w:pPr>
    </w:p>
    <w:bookmarkStart w:id="60" w:name="page61"/>
    <w:bookmarkEnd w:id="60"/>
    <w:p>
      <w:pPr>
        <w:ind w:right="100" w:firstLine="881"/>
        <w:spacing w:after="0" w:line="286" w:lineRule="auto"/>
        <w:tabs>
          <w:tab w:leader="none" w:pos="113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Income Allocable to Excess Contributions</w:t>
      </w:r>
      <w:r>
        <w:rPr>
          <w:rFonts w:ascii="Times New Roman" w:cs="Times New Roman" w:eastAsia="Times New Roman" w:hAnsi="Times New Roman"/>
          <w:sz w:val="18"/>
          <w:szCs w:val="18"/>
          <w:color w:val="auto"/>
        </w:rPr>
        <w:t>. The income allocable to Excess Contributions is equal to the sum of the allocable gain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for the Plan Year and the allocable gain or loss for the gap period. Income allocable to Excess Contributions shall be computed by either</w:t>
      </w:r>
    </w:p>
    <w:p>
      <w:pPr>
        <w:spacing w:after="0" w:line="50" w:lineRule="exact"/>
        <w:rPr>
          <w:rFonts w:ascii="Times New Roman" w:cs="Times New Roman" w:eastAsia="Times New Roman" w:hAnsi="Times New Roman"/>
          <w:sz w:val="18"/>
          <w:szCs w:val="18"/>
          <w:color w:val="auto"/>
        </w:rPr>
      </w:pPr>
    </w:p>
    <w:p>
      <w:pPr>
        <w:ind w:left="460" w:firstLine="841"/>
        <w:spacing w:after="0" w:line="266" w:lineRule="auto"/>
        <w:tabs>
          <w:tab w:leader="none" w:pos="159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reasonable method which does not discriminate in favor of Highly Compensated Employees, is used consistently for all Participants and for all corrective distributions under the Plan for the Plan Year, and is used by the Plan for allocating income among the accounts of Participants; or</w:t>
      </w:r>
    </w:p>
    <w:p>
      <w:pPr>
        <w:spacing w:after="0" w:line="68" w:lineRule="exact"/>
        <w:rPr>
          <w:rFonts w:ascii="Times New Roman" w:cs="Times New Roman" w:eastAsia="Times New Roman" w:hAnsi="Times New Roman"/>
          <w:sz w:val="18"/>
          <w:szCs w:val="18"/>
          <w:color w:val="auto"/>
        </w:rPr>
      </w:pPr>
    </w:p>
    <w:p>
      <w:pPr>
        <w:ind w:left="460" w:right="40" w:firstLine="841"/>
        <w:spacing w:after="0" w:line="282" w:lineRule="auto"/>
        <w:tabs>
          <w:tab w:leader="none" w:pos="158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multiplying the income for the Plan Year and for the gap period which is allocable to Pre-Tax Contributions and vested Company Contributions to the extent elected by the Company to be included in the numerator of the ADP, by a fraction -</w:t>
      </w:r>
    </w:p>
    <w:p>
      <w:pPr>
        <w:spacing w:after="0" w:line="53" w:lineRule="exact"/>
        <w:rPr>
          <w:rFonts w:ascii="Times New Roman" w:cs="Times New Roman" w:eastAsia="Times New Roman" w:hAnsi="Times New Roman"/>
          <w:sz w:val="18"/>
          <w:szCs w:val="18"/>
          <w:color w:val="auto"/>
        </w:rPr>
      </w:pPr>
    </w:p>
    <w:p>
      <w:pPr>
        <w:ind w:left="2040" w:hanging="214"/>
        <w:spacing w:after="0"/>
        <w:tabs>
          <w:tab w:leader="none" w:pos="204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is the Excess Contributions for the Participant for the Plan Year, and</w:t>
      </w:r>
    </w:p>
    <w:p>
      <w:pPr>
        <w:spacing w:after="0" w:line="117" w:lineRule="exact"/>
        <w:rPr>
          <w:rFonts w:ascii="Times New Roman" w:cs="Times New Roman" w:eastAsia="Times New Roman" w:hAnsi="Times New Roman"/>
          <w:sz w:val="18"/>
          <w:szCs w:val="18"/>
          <w:color w:val="auto"/>
        </w:rPr>
      </w:pPr>
    </w:p>
    <w:p>
      <w:pPr>
        <w:ind w:left="2100" w:hanging="274"/>
        <w:spacing w:after="0"/>
        <w:tabs>
          <w:tab w:leader="none" w:pos="210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is equal to the sum of</w:t>
      </w:r>
    </w:p>
    <w:p>
      <w:pPr>
        <w:spacing w:after="0" w:line="117" w:lineRule="exact"/>
        <w:rPr>
          <w:sz w:val="20"/>
          <w:szCs w:val="20"/>
          <w:color w:val="auto"/>
        </w:rPr>
      </w:pPr>
    </w:p>
    <w:p>
      <w:pPr>
        <w:ind w:right="320" w:firstLine="881"/>
        <w:spacing w:after="0" w:line="266" w:lineRule="auto"/>
        <w:tabs>
          <w:tab w:leader="none" w:pos="110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beginning of the Plan Year, the Participant’s Pre-Tax Contributions Account and that portion of the Participant’s vested Company Contribution Account attributable to vested Company Contributions elected by the Company to be included in the numerator at the ADP, plus</w:t>
      </w:r>
    </w:p>
    <w:p>
      <w:pPr>
        <w:spacing w:after="0" w:line="10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40"/>
          </w:cols>
          <w:pgMar w:left="700" w:top="266" w:right="259" w:bottom="1440" w:gutter="0" w:footer="0" w:header="0"/>
        </w:sectPr>
      </w:pPr>
    </w:p>
    <w:bookmarkStart w:id="61" w:name="page62"/>
    <w:bookmarkEnd w:id="61"/>
    <w:p>
      <w:pPr>
        <w:ind w:left="460" w:right="640" w:firstLine="881"/>
        <w:spacing w:after="0" w:line="282" w:lineRule="auto"/>
        <w:tabs>
          <w:tab w:leader="none" w:pos="16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Plan Year and the gap period, the Participant’s Pre-Tax Contributions and vested Company Contributions elected by the Company to be included in the numerator of the ADP.</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income allocable to Excess Contributions for the gap period may be calculated by multiplying ten percent (10%) of the income allocable to Excess Contributions for the Plan Year determined in accordance with Subparagraph (B) of this Subsection 17(d)(2) (without taking into account income or contributions for the gap period), by the number of calendar months that have elapsed since the end of the Plan Year. For the purpose of determining the number of calendar months that have elapsed since the end of the Plan Year, a corrective distribution made on or before the fifteenth day of the month shall be treated as made on the last day of the preceding month and a distribution made after the fifteenth day of the month shall be treated as made on the first day of the next month.</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270" w:right="259" w:bottom="1440" w:gutter="0" w:footer="0" w:header="0"/>
        </w:sectPr>
      </w:pPr>
    </w:p>
    <w:bookmarkStart w:id="62" w:name="page63"/>
    <w:bookmarkEnd w:id="62"/>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18. </w:t>
      </w:r>
      <w:r>
        <w:rPr>
          <w:rFonts w:ascii="Times New Roman" w:cs="Times New Roman" w:eastAsia="Times New Roman" w:hAnsi="Times New Roman"/>
          <w:sz w:val="18"/>
          <w:szCs w:val="18"/>
          <w:b w:val="1"/>
          <w:bCs w:val="1"/>
          <w:u w:val="single" w:color="auto"/>
          <w:color w:val="auto"/>
        </w:rPr>
        <w:t>GENERAL PROVISIONS.</w:t>
      </w:r>
    </w:p>
    <w:p>
      <w:pPr>
        <w:spacing w:after="0" w:line="117" w:lineRule="exact"/>
        <w:rPr>
          <w:sz w:val="20"/>
          <w:szCs w:val="20"/>
          <w:color w:val="auto"/>
        </w:rPr>
      </w:pPr>
    </w:p>
    <w:p>
      <w:pPr>
        <w:jc w:val="both"/>
        <w:ind w:left="-20" w:right="40" w:firstLine="921"/>
        <w:spacing w:after="0" w:line="262" w:lineRule="auto"/>
        <w:tabs>
          <w:tab w:leader="none" w:pos="113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Plan Mergers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shall not be merged or consolidated with any other plan, and no assets or liabilities of the Plan shall be transferred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plan, unless each Participant would receive a benefit immediately after such merger, consolidation or transfer (if the Plan then terminated) which is equal to or greater than the benefit such Participant would have been entitled to receive immediately before such merger, consolidation or transfer (if the Plan had then terminated).</w:t>
      </w:r>
    </w:p>
    <w:p>
      <w:pPr>
        <w:spacing w:after="0" w:line="68" w:lineRule="exact"/>
        <w:rPr>
          <w:rFonts w:ascii="Times New Roman" w:cs="Times New Roman" w:eastAsia="Times New Roman" w:hAnsi="Times New Roman"/>
          <w:sz w:val="18"/>
          <w:szCs w:val="18"/>
          <w:color w:val="auto"/>
        </w:rPr>
      </w:pPr>
    </w:p>
    <w:p>
      <w:pPr>
        <w:ind w:left="-20" w:right="20" w:firstLine="921"/>
        <w:spacing w:after="0" w:line="275" w:lineRule="auto"/>
        <w:tabs>
          <w:tab w:leader="none" w:pos="1148"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 Assignment of Property Rights</w:t>
      </w:r>
      <w:r>
        <w:rPr>
          <w:rFonts w:ascii="Times New Roman" w:cs="Times New Roman" w:eastAsia="Times New Roman" w:hAnsi="Times New Roman"/>
          <w:sz w:val="17"/>
          <w:szCs w:val="17"/>
          <w:color w:val="auto"/>
        </w:rPr>
        <w:t>. The interest or property rights of any person in the Plan, in the Trust Fund or in any payment to be made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the Plan shall not be assignable nor be subject to alienation or option, either by voluntary or involuntary assignment or by operation of law, including, (without limitation) bankruptcy, garnishment, attachment or other creditor’s process, and any act in violation of this Subsection 17(b) shall be void. This provision shall not apply to a “qualified domestic relations order” defined in ERISA Section 206(d). The Administrator shall establish a written procedure to determine the qualified status of domestic relations orders and to administer distributions under such qualified orders. Further, to the extent provided under a “qualified domestic relations order,” a former spouse of a Participant shall be treated as the spouse or surviving spouse for all purposes under the Plan.</w:t>
      </w:r>
    </w:p>
    <w:p>
      <w:pPr>
        <w:spacing w:after="0" w:line="60" w:lineRule="exact"/>
        <w:rPr>
          <w:rFonts w:ascii="Times New Roman" w:cs="Times New Roman" w:eastAsia="Times New Roman" w:hAnsi="Times New Roman"/>
          <w:sz w:val="17"/>
          <w:szCs w:val="17"/>
          <w:color w:val="auto"/>
        </w:rPr>
      </w:pPr>
    </w:p>
    <w:p>
      <w:pPr>
        <w:ind w:left="-20" w:firstLine="921"/>
        <w:spacing w:after="0" w:line="257" w:lineRule="auto"/>
        <w:tabs>
          <w:tab w:leader="none" w:pos="113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Beneficiary</w:t>
      </w:r>
      <w:r>
        <w:rPr>
          <w:rFonts w:ascii="Times New Roman" w:cs="Times New Roman" w:eastAsia="Times New Roman" w:hAnsi="Times New Roman"/>
          <w:sz w:val="18"/>
          <w:szCs w:val="18"/>
          <w:color w:val="auto"/>
        </w:rPr>
        <w:t>. The “Beneficiary” of a Participant shall be the person or persons so designated by such Participant. Unless it is established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of the Administrator that a Participant has no spouse, the spouse cannot be located, or such other circumstances exist as may be prescribed by Income Tax Regulations promulgated by the Puerto Rico Secretary of the Treasury and/or the United States Department of Labor, the designation of a person other than the Participant’s spouse as Beneficiary may be made only with the written consent of the spouse, acknowledging the effect of the designation and witnessed by a Plan representative or a notary public. Any designation which lacks required spousal consent on the date of the Participant’s death shall be void, and the Participant shall be deemed to have designated his spouse as Beneficiary. If no</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60" w:top="266" w:right="239" w:bottom="1440" w:gutter="0" w:footer="0" w:header="0"/>
        </w:sectPr>
      </w:pPr>
    </w:p>
    <w:bookmarkStart w:id="63" w:name="page64"/>
    <w:bookmarkEnd w:id="6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Beneficiary has been designated or if the designated Beneficiary is not living when a Plan Benefit is to be distributed, the Beneficiary shall be such Participant’s spouse if then living, or if not, his then living children in equal shares or, if there are no such children, her estate. A Participant may revoke and change a designation of a Beneficiary at any time. A designation of a Beneficiary, or any revocation and change thereof, shall be effective only if it is made in writing in a form acceptable to the Administrator and is received by it prior to the Participant’s death.</w:t>
      </w:r>
    </w:p>
    <w:p>
      <w:pPr>
        <w:spacing w:after="0" w:line="68" w:lineRule="exact"/>
        <w:rPr>
          <w:sz w:val="20"/>
          <w:szCs w:val="20"/>
          <w:color w:val="auto"/>
        </w:rPr>
      </w:pPr>
    </w:p>
    <w:p>
      <w:pPr>
        <w:ind w:right="120" w:firstLine="921"/>
        <w:spacing w:after="0" w:line="268" w:lineRule="auto"/>
        <w:tabs>
          <w:tab w:leader="none" w:pos="116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Incapacity</w:t>
      </w:r>
      <w:r>
        <w:rPr>
          <w:rFonts w:ascii="Times New Roman" w:cs="Times New Roman" w:eastAsia="Times New Roman" w:hAnsi="Times New Roman"/>
          <w:sz w:val="18"/>
          <w:szCs w:val="18"/>
          <w:color w:val="auto"/>
        </w:rPr>
        <w:t>. If, in the opinion of the Administrator, any person becomes unable to handle properly any property distributable under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Administrator may make any arrangement for distribution on her behalf that it determines will be beneficial to her, including (without limitation) distribution to her guardian, conservator, spouse or dependent.</w:t>
      </w:r>
    </w:p>
    <w:p>
      <w:pPr>
        <w:spacing w:after="0" w:line="62" w:lineRule="exact"/>
        <w:rPr>
          <w:rFonts w:ascii="Times New Roman" w:cs="Times New Roman" w:eastAsia="Times New Roman" w:hAnsi="Times New Roman"/>
          <w:sz w:val="18"/>
          <w:szCs w:val="18"/>
          <w:color w:val="auto"/>
        </w:rPr>
      </w:pPr>
    </w:p>
    <w:p>
      <w:pPr>
        <w:ind w:right="200" w:firstLine="921"/>
        <w:spacing w:after="0" w:line="286" w:lineRule="auto"/>
        <w:tabs>
          <w:tab w:leader="none" w:pos="115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Employment Rights</w:t>
      </w:r>
      <w:r>
        <w:rPr>
          <w:rFonts w:ascii="Times New Roman" w:cs="Times New Roman" w:eastAsia="Times New Roman" w:hAnsi="Times New Roman"/>
          <w:sz w:val="18"/>
          <w:szCs w:val="18"/>
          <w:color w:val="auto"/>
        </w:rPr>
        <w:t>. Nothing in the plan shall be deemed to give any person a right to remain in the employ of the Company or affect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of the Company to terminate a person’s employment with or without cause.</w:t>
      </w:r>
    </w:p>
    <w:p>
      <w:pPr>
        <w:spacing w:after="0" w:line="46" w:lineRule="exact"/>
        <w:rPr>
          <w:rFonts w:ascii="Times New Roman" w:cs="Times New Roman" w:eastAsia="Times New Roman" w:hAnsi="Times New Roman"/>
          <w:sz w:val="18"/>
          <w:szCs w:val="18"/>
          <w:color w:val="auto"/>
        </w:rPr>
      </w:pPr>
    </w:p>
    <w:p>
      <w:pPr>
        <w:ind w:firstLine="921"/>
        <w:spacing w:after="0" w:line="255" w:lineRule="auto"/>
        <w:tabs>
          <w:tab w:leader="none" w:pos="113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Voting Rights</w:t>
      </w:r>
      <w:r>
        <w:rPr>
          <w:rFonts w:ascii="Times New Roman" w:cs="Times New Roman" w:eastAsia="Times New Roman" w:hAnsi="Times New Roman"/>
          <w:sz w:val="18"/>
          <w:szCs w:val="18"/>
          <w:color w:val="auto"/>
        </w:rPr>
        <w:t>. Each Participant (or, in the event of her death, her Beneficiary) shall have the right to direct the Trustee as to the manner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shares of Stock allocated to her accounts as of the Valuation Date coinciding with or immediately preceding the record date for an annual or special stockholders’ meeting of FMC are to be voted on each matter brought before such stockholders’ meeting. Before each such meeting of stockholders, FMC shall cause to be furnished to each Participant (or Beneficiary) a copy of the proxy solicitation material, together with a form requesting confidential directions on how such shares of Stock allocated to such Participant’s accounts shall be voted on each such matter. Upon timely receipt of such directions the Trustee shall on each such matter vote as directed the number of shares (including fractional shares) of Stock allocated to such Participant’s accounts. The instructions received by the Trustee from Participants shall be held by the Trustee in confidence and shall not be divulged or released to any person, including officers or employees of FMC or an Affiliate. The Trustee shall vote all unallocated shares for which it has not received direction, as directed by FMC or its delegate.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80"/>
          </w:cols>
          <w:pgMar w:left="240" w:top="270" w:right="279" w:bottom="1440" w:gutter="0" w:footer="0" w:header="0"/>
        </w:sectPr>
      </w:pPr>
    </w:p>
    <w:bookmarkStart w:id="64" w:name="page65"/>
    <w:bookmarkEnd w:id="64"/>
    <w:p>
      <w:pPr>
        <w:ind w:left="-20" w:firstLine="921"/>
        <w:spacing w:after="0" w:line="253" w:lineRule="auto"/>
        <w:tabs>
          <w:tab w:leader="none" w:pos="114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 on Tender or Exchange Offer</w:t>
      </w:r>
      <w:r>
        <w:rPr>
          <w:rFonts w:ascii="Times New Roman" w:cs="Times New Roman" w:eastAsia="Times New Roman" w:hAnsi="Times New Roman"/>
          <w:sz w:val="18"/>
          <w:szCs w:val="18"/>
          <w:color w:val="auto"/>
        </w:rPr>
        <w:t>. Each Participant (or, in the event of her death, her Beneficiary) shall have the right, to the extent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number of shares of Stock (including fractional shares) allocated to her accounts as of the Valuation Date coinciding with or immediately preceding a tender or exchange offer with respect to such shares of Stock, to direct the Trustee in writing as to the manner in which to respond to the tender or exchange offer. FMC shall use its best efforts to timely distribute or cause to be distributed to each Participant (or Beneficiary) such information as will be distributed to stockholders of FMC in connection with any such tender or exchange offer. Upon timely receipt of such instructions, the Trustee shall respond as instructed with respect to such shares of Stock. The instructions received by the Trustee from Participants shall be held by the Trustee in confidence and shall not be divulged or released to any person including officers or employees of FMC or an Affiliate. If the Trustee shall not receive timely instruction from a Participant (or Beneficiary) as to the manner in which to respond to such a tender or exchange offer, FMC shall have the right to tender, at its discretion, any unallocated shares of Stock reflecting a Participant’s proportional interest in the Stock for which the Trustee has received no direction from the Participant. Any consideration received for stock tendered and sold shall be placed in a separate account in the Stock Fund until the Committee instructs the Trustee as to its further disposition, and, pending receipt of such instructions, the Trustee may temporarily invest any cash consideration in accordance with the provisions of Section 13(e).</w:t>
      </w:r>
    </w:p>
    <w:p>
      <w:pPr>
        <w:spacing w:after="0" w:line="82" w:lineRule="exact"/>
        <w:rPr>
          <w:rFonts w:ascii="Times New Roman" w:cs="Times New Roman" w:eastAsia="Times New Roman" w:hAnsi="Times New Roman"/>
          <w:sz w:val="18"/>
          <w:szCs w:val="18"/>
          <w:color w:val="auto"/>
        </w:rPr>
      </w:pPr>
    </w:p>
    <w:p>
      <w:pPr>
        <w:ind w:left="-20" w:right="100" w:firstLine="921"/>
        <w:spacing w:after="0" w:line="286" w:lineRule="auto"/>
        <w:tabs>
          <w:tab w:leader="none" w:pos="114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Account Statements</w:t>
      </w:r>
      <w:r>
        <w:rPr>
          <w:rFonts w:ascii="Times New Roman" w:cs="Times New Roman" w:eastAsia="Times New Roman" w:hAnsi="Times New Roman"/>
          <w:sz w:val="18"/>
          <w:szCs w:val="18"/>
          <w:color w:val="auto"/>
        </w:rPr>
        <w:t>. At least annually, the Company shall furnish for each Participant an account statement as required by ERISA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Valuation Date preceding the date of such statement.</w:t>
      </w:r>
    </w:p>
    <w:p>
      <w:pPr>
        <w:spacing w:after="0" w:line="46" w:lineRule="exact"/>
        <w:rPr>
          <w:rFonts w:ascii="Times New Roman" w:cs="Times New Roman" w:eastAsia="Times New Roman" w:hAnsi="Times New Roman"/>
          <w:sz w:val="18"/>
          <w:szCs w:val="18"/>
          <w:color w:val="auto"/>
        </w:rPr>
      </w:pPr>
    </w:p>
    <w:p>
      <w:pPr>
        <w:ind w:left="-20" w:right="200" w:firstLine="921"/>
        <w:spacing w:after="0" w:line="286" w:lineRule="auto"/>
        <w:tabs>
          <w:tab w:leader="none" w:pos="110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Choice of Law</w:t>
      </w:r>
      <w:r>
        <w:rPr>
          <w:rFonts w:ascii="Times New Roman" w:cs="Times New Roman" w:eastAsia="Times New Roman" w:hAnsi="Times New Roman"/>
          <w:sz w:val="18"/>
          <w:szCs w:val="18"/>
          <w:color w:val="auto"/>
        </w:rPr>
        <w:t>. The Plan and all rights thereunder shall be interpreted and construed in accordance with ERISA and, to the extent that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is not pre-empted by ERISA, the law of the Commonwealth of Puerto Rico.</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80"/>
          </w:cols>
          <w:pgMar w:left="260" w:top="266" w:right="259" w:bottom="1440" w:gutter="0" w:footer="0" w:header="0"/>
        </w:sectPr>
      </w:pPr>
    </w:p>
    <w:bookmarkStart w:id="65" w:name="page66"/>
    <w:bookmarkEnd w:id="65"/>
    <w:p>
      <w:pPr>
        <w:ind w:left="-500" w:firstLine="921"/>
        <w:spacing w:after="0" w:line="286" w:lineRule="auto"/>
        <w:tabs>
          <w:tab w:leader="none" w:pos="6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Participation in the Plan by an Affiliate</w:t>
      </w:r>
      <w:r>
        <w:rPr>
          <w:rFonts w:ascii="Times New Roman" w:cs="Times New Roman" w:eastAsia="Times New Roman" w:hAnsi="Times New Roman"/>
          <w:sz w:val="18"/>
          <w:szCs w:val="18"/>
          <w:color w:val="auto"/>
        </w:rPr>
        <w:t>. With the consent of the Board, any Affiliate, by appropriate action of its board of directors,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partner or the sole proprietor, as the case may be may adopt the Plan.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420"/>
          </w:cols>
          <w:pgMar w:left="740" w:top="266" w:right="739" w:bottom="1440" w:gutter="0" w:footer="0" w:header="0"/>
        </w:sectPr>
      </w:pPr>
    </w:p>
    <w:bookmarkStart w:id="66" w:name="page67"/>
    <w:bookmarkEnd w:id="66"/>
    <w:p>
      <w:pPr>
        <w:ind w:lef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19.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0" w:firstLine="921"/>
        <w:spacing w:after="0" w:line="286" w:lineRule="auto"/>
        <w:tabs>
          <w:tab w:leader="none" w:pos="111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Active Participation</w:t>
      </w:r>
      <w:r>
        <w:rPr>
          <w:rFonts w:ascii="Times New Roman" w:cs="Times New Roman" w:eastAsia="Times New Roman" w:hAnsi="Times New Roman"/>
          <w:sz w:val="18"/>
          <w:szCs w:val="18"/>
          <w:color w:val="auto"/>
        </w:rPr>
        <w:t>” means a Participant has a currently effective election of Pre-Tax Contributions and is eligible to receive allocations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Contributions and Forfeitures.</w:t>
      </w:r>
    </w:p>
    <w:p>
      <w:pPr>
        <w:spacing w:after="0" w:line="46" w:lineRule="exact"/>
        <w:rPr>
          <w:rFonts w:ascii="Times New Roman" w:cs="Times New Roman" w:eastAsia="Times New Roman" w:hAnsi="Times New Roman"/>
          <w:sz w:val="18"/>
          <w:szCs w:val="18"/>
          <w:color w:val="auto"/>
        </w:rPr>
      </w:pPr>
    </w:p>
    <w:p>
      <w:pPr>
        <w:ind w:left="-40" w:right="40" w:firstLine="921"/>
        <w:spacing w:after="0" w:line="286" w:lineRule="auto"/>
        <w:tabs>
          <w:tab w:leader="none" w:pos="112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Adjusted Regular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Participant’s Regular Compensation reduced by an amount equal to the Dollar Limit, but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than 10% of his Regular Compensation, as provided in Subsection 2(a).</w:t>
      </w:r>
    </w:p>
    <w:p>
      <w:pPr>
        <w:spacing w:after="0" w:line="46" w:lineRule="exact"/>
        <w:rPr>
          <w:rFonts w:ascii="Times New Roman" w:cs="Times New Roman" w:eastAsia="Times New Roman" w:hAnsi="Times New Roman"/>
          <w:sz w:val="18"/>
          <w:szCs w:val="18"/>
          <w:color w:val="auto"/>
        </w:rPr>
      </w:pPr>
    </w:p>
    <w:p>
      <w:pPr>
        <w:ind w:left="1120" w:hanging="239"/>
        <w:spacing w:after="0"/>
        <w:tabs>
          <w:tab w:leader="none" w:pos="11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corporation, partnership, or other entity that is:</w:t>
      </w:r>
    </w:p>
    <w:p>
      <w:pPr>
        <w:spacing w:after="0" w:line="121" w:lineRule="exact"/>
        <w:rPr>
          <w:rFonts w:ascii="Times New Roman" w:cs="Times New Roman" w:eastAsia="Times New Roman" w:hAnsi="Times New Roman"/>
          <w:sz w:val="18"/>
          <w:szCs w:val="18"/>
          <w:color w:val="auto"/>
        </w:rPr>
      </w:pPr>
    </w:p>
    <w:p>
      <w:pPr>
        <w:ind w:left="420" w:right="60" w:firstLine="881"/>
        <w:spacing w:after="0" w:line="282" w:lineRule="auto"/>
        <w:tabs>
          <w:tab w:leader="none" w:pos="151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a controlled group of corporations of which the Company is a member (as described in Section 414(b) of the United States Internal Revenue Code (the “US-Code”);</w:t>
      </w:r>
    </w:p>
    <w:p>
      <w:pPr>
        <w:spacing w:after="0" w:line="53" w:lineRule="exact"/>
        <w:rPr>
          <w:rFonts w:ascii="Times New Roman" w:cs="Times New Roman" w:eastAsia="Times New Roman" w:hAnsi="Times New Roman"/>
          <w:sz w:val="18"/>
          <w:szCs w:val="18"/>
          <w:color w:val="auto"/>
        </w:rPr>
      </w:pPr>
    </w:p>
    <w:p>
      <w:pPr>
        <w:ind w:left="1560" w:hanging="259"/>
        <w:spacing w:after="0"/>
        <w:tabs>
          <w:tab w:leader="none" w:pos="15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any trade or business under common control with the Company (as described in Section 414(c) of the US-Code);</w:t>
      </w:r>
    </w:p>
    <w:p>
      <w:pPr>
        <w:spacing w:after="0" w:line="225" w:lineRule="exact"/>
        <w:rPr>
          <w:rFonts w:ascii="Times New Roman" w:cs="Times New Roman" w:eastAsia="Times New Roman" w:hAnsi="Times New Roman"/>
          <w:sz w:val="18"/>
          <w:szCs w:val="18"/>
          <w:color w:val="auto"/>
        </w:rPr>
      </w:pPr>
    </w:p>
    <w:p>
      <w:pPr>
        <w:ind w:left="1620" w:hanging="319"/>
        <w:spacing w:after="0"/>
        <w:tabs>
          <w:tab w:leader="none" w:pos="16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an affiliated service group that includes the Company (as described in US-Code Section 414(m)); or</w:t>
      </w:r>
    </w:p>
    <w:p>
      <w:pPr>
        <w:spacing w:after="0" w:line="117" w:lineRule="exact"/>
        <w:rPr>
          <w:rFonts w:ascii="Times New Roman" w:cs="Times New Roman" w:eastAsia="Times New Roman" w:hAnsi="Times New Roman"/>
          <w:sz w:val="18"/>
          <w:szCs w:val="18"/>
          <w:color w:val="auto"/>
        </w:rPr>
      </w:pPr>
    </w:p>
    <w:p>
      <w:pPr>
        <w:ind w:left="1600" w:hanging="299"/>
        <w:spacing w:after="0"/>
        <w:tabs>
          <w:tab w:leader="none" w:pos="16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required to be aggregated with the Company pursuant to U.S. Treasury Regulations promulgated under Section 414(o) of the</w:t>
      </w:r>
    </w:p>
    <w:p>
      <w:pPr>
        <w:spacing w:after="0" w:line="27"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US-Code.</w:t>
      </w:r>
    </w:p>
    <w:p>
      <w:pPr>
        <w:spacing w:after="0" w:line="94" w:lineRule="exact"/>
        <w:rPr>
          <w:rFonts w:ascii="Times New Roman" w:cs="Times New Roman" w:eastAsia="Times New Roman" w:hAnsi="Times New Roman"/>
          <w:sz w:val="18"/>
          <w:szCs w:val="18"/>
          <w:color w:val="auto"/>
        </w:rPr>
      </w:pPr>
    </w:p>
    <w:p>
      <w:pPr>
        <w:ind w:left="1140" w:hanging="259"/>
        <w:spacing w:after="0"/>
        <w:tabs>
          <w:tab w:leader="none" w:pos="1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After-Tax Contributions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employee contributions made under Subsection 3(g).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60"/>
          </w:cols>
          <w:pgMar w:left="280" w:top="266" w:right="259" w:bottom="1440" w:gutter="0" w:footer="0" w:header="0"/>
        </w:sectPr>
      </w:pPr>
    </w:p>
    <w:bookmarkStart w:id="67" w:name="page68"/>
    <w:bookmarkEnd w:id="67"/>
    <w:p>
      <w:pPr>
        <w:ind w:left="-40" w:right="920" w:firstLine="921"/>
        <w:spacing w:after="0" w:line="286" w:lineRule="auto"/>
        <w:tabs>
          <w:tab w:leader="none" w:pos="111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After-Tax Contributions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account maintained for each Participant to which is credited all of her After-Tax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Contributions and any earnings, appreciation, or losses attributable thereto.</w:t>
      </w:r>
    </w:p>
    <w:p>
      <w:pPr>
        <w:spacing w:after="0" w:line="46" w:lineRule="exact"/>
        <w:rPr>
          <w:rFonts w:ascii="Times New Roman" w:cs="Times New Roman" w:eastAsia="Times New Roman" w:hAnsi="Times New Roman"/>
          <w:sz w:val="18"/>
          <w:szCs w:val="18"/>
          <w:color w:val="auto"/>
        </w:rPr>
      </w:pPr>
    </w:p>
    <w:p>
      <w:pPr>
        <w:ind w:left="-40" w:right="540" w:firstLine="921"/>
        <w:spacing w:after="0" w:line="286" w:lineRule="auto"/>
        <w:tabs>
          <w:tab w:leader="none" w:pos="109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Aggregate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with respect to each Participant, the value of all accounts maintained on behalf of a Participant, whether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attributable to Company or employee contributions.</w:t>
      </w:r>
    </w:p>
    <w:p>
      <w:pPr>
        <w:spacing w:after="0" w:line="46" w:lineRule="exact"/>
        <w:rPr>
          <w:rFonts w:ascii="Times New Roman" w:cs="Times New Roman" w:eastAsia="Times New Roman" w:hAnsi="Times New Roman"/>
          <w:sz w:val="18"/>
          <w:szCs w:val="18"/>
          <w:color w:val="auto"/>
        </w:rPr>
      </w:pPr>
    </w:p>
    <w:p>
      <w:pPr>
        <w:ind w:left="-40" w:right="140" w:firstLine="921"/>
        <w:spacing w:after="0" w:line="286" w:lineRule="auto"/>
        <w:tabs>
          <w:tab w:leader="none" w:pos="112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Basic Contributions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that portion of a Participant’s annualized Pre-Tax Contributions and After-Tax Contributions not in excess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 of his Regular Compensation.</w:t>
      </w:r>
    </w:p>
    <w:p>
      <w:pPr>
        <w:spacing w:after="0" w:line="46" w:lineRule="exact"/>
        <w:rPr>
          <w:rFonts w:ascii="Times New Roman" w:cs="Times New Roman" w:eastAsia="Times New Roman" w:hAnsi="Times New Roman"/>
          <w:sz w:val="18"/>
          <w:szCs w:val="18"/>
          <w:color w:val="auto"/>
        </w:rPr>
      </w:pPr>
    </w:p>
    <w:p>
      <w:pPr>
        <w:ind w:left="1140" w:hanging="259"/>
        <w:spacing w:after="0"/>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Beneficiary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person or persons determined pursuant to Subsection 18(c).</w:t>
      </w:r>
    </w:p>
    <w:p>
      <w:pPr>
        <w:spacing w:after="0" w:line="117" w:lineRule="exact"/>
        <w:rPr>
          <w:rFonts w:ascii="Times New Roman" w:cs="Times New Roman" w:eastAsia="Times New Roman" w:hAnsi="Times New Roman"/>
          <w:sz w:val="18"/>
          <w:szCs w:val="18"/>
          <w:color w:val="auto"/>
        </w:rPr>
      </w:pPr>
    </w:p>
    <w:p>
      <w:pPr>
        <w:ind w:left="1100" w:hanging="219"/>
        <w:spacing w:after="0"/>
        <w:tabs>
          <w:tab w:leader="none" w:pos="11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Board of Directors of the Company.</w:t>
      </w:r>
    </w:p>
    <w:p>
      <w:pPr>
        <w:spacing w:after="0" w:line="117" w:lineRule="exact"/>
        <w:rPr>
          <w:rFonts w:ascii="Times New Roman" w:cs="Times New Roman" w:eastAsia="Times New Roman" w:hAnsi="Times New Roman"/>
          <w:sz w:val="18"/>
          <w:szCs w:val="18"/>
          <w:color w:val="auto"/>
        </w:rPr>
      </w:pPr>
    </w:p>
    <w:p>
      <w:pPr>
        <w:ind w:left="1100" w:hanging="219"/>
        <w:spacing w:after="0"/>
        <w:tabs>
          <w:tab w:leader="none" w:pos="11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Puerto Rico Internal Revenue Code of 1994, as it may be amended from time to time.</w:t>
      </w:r>
    </w:p>
    <w:p>
      <w:pPr>
        <w:spacing w:after="0" w:line="117" w:lineRule="exact"/>
        <w:rPr>
          <w:rFonts w:ascii="Times New Roman" w:cs="Times New Roman" w:eastAsia="Times New Roman" w:hAnsi="Times New Roman"/>
          <w:sz w:val="18"/>
          <w:szCs w:val="18"/>
          <w:color w:val="auto"/>
        </w:rPr>
      </w:pPr>
    </w:p>
    <w:p>
      <w:pPr>
        <w:ind w:left="-40" w:firstLine="921"/>
        <w:spacing w:after="0" w:line="286" w:lineRule="auto"/>
        <w:tabs>
          <w:tab w:leader="none" w:pos="112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FMC Corporation Employee Welfare Benefits Plan Committee as described in Section 13(g), its authorized delegate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successor the FMC Corporation Employee Welfare Benefits Plan Committee.</w:t>
      </w:r>
    </w:p>
    <w:p>
      <w:pPr>
        <w:spacing w:after="0" w:line="46" w:lineRule="exact"/>
        <w:rPr>
          <w:rFonts w:ascii="Times New Roman" w:cs="Times New Roman" w:eastAsia="Times New Roman" w:hAnsi="Times New Roman"/>
          <w:sz w:val="18"/>
          <w:szCs w:val="18"/>
          <w:color w:val="auto"/>
        </w:rPr>
      </w:pPr>
    </w:p>
    <w:p>
      <w:pPr>
        <w:ind w:left="1100" w:hanging="219"/>
        <w:spacing w:after="0"/>
        <w:tabs>
          <w:tab w:leader="none" w:pos="11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FMC International AG and any successor to it.</w:t>
      </w:r>
    </w:p>
    <w:p>
      <w:pPr>
        <w:spacing w:after="0" w:line="117" w:lineRule="exact"/>
        <w:rPr>
          <w:rFonts w:ascii="Times New Roman" w:cs="Times New Roman" w:eastAsia="Times New Roman" w:hAnsi="Times New Roman"/>
          <w:sz w:val="18"/>
          <w:szCs w:val="18"/>
          <w:color w:val="auto"/>
        </w:rPr>
      </w:pPr>
    </w:p>
    <w:p>
      <w:pPr>
        <w:ind w:left="-40" w:right="60" w:firstLine="921"/>
        <w:spacing w:after="0" w:line="286" w:lineRule="auto"/>
        <w:tabs>
          <w:tab w:leader="none" w:pos="117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Company Contributions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contributions made by the Company under Subsection 4(a), but not including Pre-Tax Contributions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After-Tax Contributions.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60"/>
          </w:cols>
          <w:pgMar w:left="280" w:top="266" w:right="259" w:bottom="1440" w:gutter="0" w:footer="0" w:header="0"/>
        </w:sectPr>
      </w:pPr>
    </w:p>
    <w:bookmarkStart w:id="68" w:name="page69"/>
    <w:bookmarkEnd w:id="68"/>
    <w:p>
      <w:pPr>
        <w:ind w:right="660" w:firstLine="921"/>
        <w:spacing w:after="0" w:line="286" w:lineRule="auto"/>
        <w:tabs>
          <w:tab w:leader="none" w:pos="116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Company Contributions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account maintained for each Participant to which is allocated her share of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Contributions and Forfeitures and all earnings, appreciation or losses attributable thereto.</w:t>
      </w:r>
    </w:p>
    <w:p>
      <w:pPr>
        <w:spacing w:after="0" w:line="46"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Distribution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date, determined pursuant to Subsection 9(a)(ii), as of which the distribution of a Plan Benefit is made.</w:t>
      </w:r>
    </w:p>
    <w:p>
      <w:pPr>
        <w:spacing w:after="0" w:line="117" w:lineRule="exact"/>
        <w:rPr>
          <w:rFonts w:ascii="Times New Roman" w:cs="Times New Roman" w:eastAsia="Times New Roman" w:hAnsi="Times New Roman"/>
          <w:sz w:val="18"/>
          <w:szCs w:val="18"/>
          <w:color w:val="auto"/>
        </w:rPr>
      </w:pPr>
    </w:p>
    <w:p>
      <w:pPr>
        <w:ind w:right="60" w:firstLine="921"/>
        <w:spacing w:after="0" w:line="286" w:lineRule="auto"/>
        <w:tabs>
          <w:tab w:leader="none" w:pos="116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Dollar Limit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$8,000 or the maximum amount in effect of Pre-Tax Contributions excludable from the gross income of a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given Year as provided in Code Section 1165(e)(7)(A) at any such time, subject to Section 17.</w:t>
      </w:r>
    </w:p>
    <w:p>
      <w:pPr>
        <w:spacing w:after="0" w:line="46" w:lineRule="exact"/>
        <w:rPr>
          <w:rFonts w:ascii="Times New Roman" w:cs="Times New Roman" w:eastAsia="Times New Roman" w:hAnsi="Times New Roman"/>
          <w:sz w:val="18"/>
          <w:szCs w:val="18"/>
          <w:color w:val="auto"/>
        </w:rPr>
      </w:pPr>
    </w:p>
    <w:p>
      <w:pPr>
        <w:ind w:firstLine="921"/>
        <w:spacing w:after="0" w:line="257" w:lineRule="auto"/>
        <w:tabs>
          <w:tab w:leader="none" w:pos="116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Eligible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individual employed by the Company that is a bona fide resident of Puerto Rico or performs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in the Commonwealth of Puerto Rico pursuant to the provisions of ERISA Section 1022(i)(1), provided that there shall be excluded all leased employees, any individual whose employment is covered by a collective-bargaining agreement unless such agreement expressly provides for participation in the Plan by such employee, any alien nonresident of Puerto Rico and/or the United States, (I) any employee who is an active participant in the FMC Corporation Savings and Investment Plan and (II) any employee who generally resides outside Puerto Rico or whose principal duties generally are performed outside Puerto Rico, as determined by the Administrator.</w:t>
      </w:r>
    </w:p>
    <w:p>
      <w:pPr>
        <w:spacing w:after="0" w:line="187" w:lineRule="exact"/>
        <w:rPr>
          <w:sz w:val="20"/>
          <w:szCs w:val="20"/>
          <w:color w:val="auto"/>
        </w:rPr>
      </w:pPr>
    </w:p>
    <w:p>
      <w:pPr>
        <w:ind w:right="240" w:firstLine="913"/>
        <w:spacing w:after="0" w:line="282" w:lineRule="auto"/>
        <w:rPr>
          <w:sz w:val="20"/>
          <w:szCs w:val="20"/>
          <w:color w:val="auto"/>
        </w:rPr>
      </w:pPr>
      <w:r>
        <w:rPr>
          <w:rFonts w:ascii="Times New Roman" w:cs="Times New Roman" w:eastAsia="Times New Roman" w:hAnsi="Times New Roman"/>
          <w:sz w:val="18"/>
          <w:szCs w:val="18"/>
          <w:color w:val="auto"/>
        </w:rPr>
        <w:t>An individual’s status as an Eligible Employee shall be determined by the Company. Subject to the review procedure described in Section 11, such determination shall be conclusive and binding on all persons.</w:t>
      </w:r>
    </w:p>
    <w:p>
      <w:pPr>
        <w:spacing w:after="0" w:line="50" w:lineRule="exact"/>
        <w:rPr>
          <w:sz w:val="20"/>
          <w:szCs w:val="20"/>
          <w:color w:val="auto"/>
        </w:rPr>
      </w:pPr>
    </w:p>
    <w:p>
      <w:pPr>
        <w:ind w:left="5620" w:right="2900" w:hanging="4699"/>
        <w:spacing w:after="0" w:line="459" w:lineRule="auto"/>
        <w:tabs>
          <w:tab w:leader="none" w:pos="114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Employee Rollover Contributions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amounts contributed to the Trust under Subsection 3(f).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52</w:t>
      </w:r>
    </w:p>
    <w:p>
      <w:pPr>
        <w:sectPr>
          <w:pgSz w:w="11900" w:h="16838" w:orient="portrait"/>
          <w:cols w:equalWidth="0" w:num="1">
            <w:col w:w="11360"/>
          </w:cols>
          <w:pgMar w:left="240" w:top="266" w:right="299" w:bottom="1440" w:gutter="0" w:footer="0" w:header="0"/>
        </w:sectPr>
      </w:pPr>
    </w:p>
    <w:bookmarkStart w:id="69" w:name="page70"/>
    <w:bookmarkEnd w:id="69"/>
    <w:p>
      <w:pPr>
        <w:ind w:right="60" w:firstLine="921"/>
        <w:spacing w:after="0" w:line="286" w:lineRule="auto"/>
        <w:tabs>
          <w:tab w:leader="none" w:pos="114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Employee Rollover Contributions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amounts contributed to the trust in accordance with Subsection 3(f), and any earnings,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or losses attributable thereto.</w:t>
      </w:r>
    </w:p>
    <w:p>
      <w:pPr>
        <w:spacing w:after="0" w:line="46" w:lineRule="exact"/>
        <w:rPr>
          <w:rFonts w:ascii="Times New Roman" w:cs="Times New Roman" w:eastAsia="Times New Roman" w:hAnsi="Times New Roman"/>
          <w:sz w:val="18"/>
          <w:szCs w:val="18"/>
          <w:color w:val="auto"/>
        </w:rPr>
      </w:pPr>
    </w:p>
    <w:p>
      <w:pPr>
        <w:ind w:left="1140" w:hanging="219"/>
        <w:spacing w:after="0"/>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Employee Retirement Income Security Act of 1974, as it may be amended from time to time.</w:t>
      </w:r>
    </w:p>
    <w:p>
      <w:pPr>
        <w:spacing w:after="0" w:line="117"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FMC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FMC Corporation, a Delaware corporation.</w:t>
      </w:r>
    </w:p>
    <w:p>
      <w:pPr>
        <w:spacing w:after="0" w:line="117" w:lineRule="exact"/>
        <w:rPr>
          <w:rFonts w:ascii="Times New Roman" w:cs="Times New Roman" w:eastAsia="Times New Roman" w:hAnsi="Times New Roman"/>
          <w:sz w:val="18"/>
          <w:szCs w:val="18"/>
          <w:color w:val="auto"/>
        </w:rPr>
      </w:pPr>
    </w:p>
    <w:p>
      <w:pPr>
        <w:ind w:right="160" w:firstLine="921"/>
        <w:spacing w:after="0" w:line="286" w:lineRule="auto"/>
        <w:tabs>
          <w:tab w:leader="none" w:pos="116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Forfeiture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portion (if any) of a Participant’s Company Contributions Account which is forfeited pursuant to Section 8(b)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employment.</w:t>
      </w:r>
    </w:p>
    <w:p>
      <w:pPr>
        <w:spacing w:after="0" w:line="46" w:lineRule="exact"/>
        <w:rPr>
          <w:rFonts w:ascii="Times New Roman" w:cs="Times New Roman" w:eastAsia="Times New Roman" w:hAnsi="Times New Roman"/>
          <w:sz w:val="18"/>
          <w:szCs w:val="18"/>
          <w:color w:val="auto"/>
        </w:rPr>
      </w:pPr>
    </w:p>
    <w:p>
      <w:pPr>
        <w:ind w:left="1220" w:hanging="299"/>
        <w:spacing w:after="0"/>
        <w:tabs>
          <w:tab w:leader="none" w:pos="12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Highly Compensated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Eligible Employee who is more highly compensated than two-thirds of all other Eligible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w:t>
      </w:r>
    </w:p>
    <w:p>
      <w:pPr>
        <w:spacing w:after="0" w:line="94" w:lineRule="exact"/>
        <w:rPr>
          <w:rFonts w:ascii="Times New Roman" w:cs="Times New Roman" w:eastAsia="Times New Roman" w:hAnsi="Times New Roman"/>
          <w:sz w:val="18"/>
          <w:szCs w:val="18"/>
          <w:color w:val="auto"/>
        </w:rPr>
      </w:pPr>
    </w:p>
    <w:p>
      <w:pPr>
        <w:ind w:right="80" w:firstLine="921"/>
        <w:spacing w:after="0" w:line="286" w:lineRule="auto"/>
        <w:tabs>
          <w:tab w:leader="none" w:pos="116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Investment Fund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each investment fund established by the Administrator or its delegate as an investment media for the Trust Fund.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Administrator or its delegate shall have discretion in establishing and terminating such funds as it shall deem appropriate.</w:t>
      </w:r>
    </w:p>
    <w:p>
      <w:pPr>
        <w:spacing w:after="0" w:line="46" w:lineRule="exact"/>
        <w:rPr>
          <w:rFonts w:ascii="Times New Roman" w:cs="Times New Roman" w:eastAsia="Times New Roman" w:hAnsi="Times New Roman"/>
          <w:sz w:val="18"/>
          <w:szCs w:val="18"/>
          <w:color w:val="auto"/>
        </w:rPr>
      </w:pPr>
    </w:p>
    <w:p>
      <w:pPr>
        <w:ind w:firstLine="921"/>
        <w:spacing w:after="0" w:line="286" w:lineRule="auto"/>
        <w:tabs>
          <w:tab w:leader="none" w:pos="116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Eligible Employee who has elected to participate in the Plan as provided in Subsection 2(a) or who has transferred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Trust a Rollover Contribution pursuant to Subsection 3(f).</w:t>
      </w:r>
    </w:p>
    <w:p>
      <w:pPr>
        <w:spacing w:after="0" w:line="46"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Participating Employer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Company and each other Affiliate that adopts the Plan with the consent of the Board, as provided in</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18(j).</w:t>
      </w:r>
    </w:p>
    <w:p>
      <w:pPr>
        <w:spacing w:after="0" w:line="95" w:lineRule="exact"/>
        <w:rPr>
          <w:sz w:val="20"/>
          <w:szCs w:val="20"/>
          <w:color w:val="auto"/>
        </w:rPr>
      </w:pPr>
    </w:p>
    <w:p>
      <w:pPr>
        <w:ind w:right="320" w:firstLine="921"/>
        <w:spacing w:after="0" w:line="286" w:lineRule="auto"/>
        <w:tabs>
          <w:tab w:leader="none" w:pos="123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FMC Puerto Rico Savings and Investment Plan (previously known as the FMC Puerto Rico Thrift and Stock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for periods prior to January 1, 2000), as it may be amended from time to time.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266" w:right="239" w:bottom="1440" w:gutter="0" w:footer="0" w:header="0"/>
        </w:sectPr>
      </w:pPr>
    </w:p>
    <w:bookmarkStart w:id="70" w:name="page71"/>
    <w:bookmarkEnd w:id="70"/>
    <w:p>
      <w:pPr>
        <w:ind w:right="440" w:firstLine="921"/>
        <w:spacing w:after="0" w:line="268" w:lineRule="auto"/>
        <w:tabs>
          <w:tab w:leader="none" w:pos="125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Plan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aggregate of any distributions from a Participant’s After-Tax Contributions Account, Pre-Tax Contributions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Company Contributions Account, and Rollover Contribution Account to which she becomes entitled under Section 8(a) upon termination of employment or upon becoming permanently and totally disabled.</w:t>
      </w:r>
    </w:p>
    <w:p>
      <w:pPr>
        <w:spacing w:after="0" w:line="62" w:lineRule="exact"/>
        <w:rPr>
          <w:rFonts w:ascii="Times New Roman" w:cs="Times New Roman" w:eastAsia="Times New Roman" w:hAnsi="Times New Roman"/>
          <w:sz w:val="18"/>
          <w:szCs w:val="18"/>
          <w:color w:val="auto"/>
        </w:rPr>
      </w:pPr>
    </w:p>
    <w:p>
      <w:pPr>
        <w:ind w:left="1240" w:hanging="319"/>
        <w:spacing w:after="0"/>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Plan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period of 12 consecutive months beginning on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60" w:hanging="339"/>
        <w:spacing w:after="0"/>
        <w:tabs>
          <w:tab w:leader="none" w:pos="12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Pre-Tax Contributions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amounts contributed to the Trust as elected by Participants under Subsection 3(a).</w:t>
      </w:r>
    </w:p>
    <w:p>
      <w:pPr>
        <w:spacing w:after="0" w:line="117" w:lineRule="exact"/>
        <w:rPr>
          <w:rFonts w:ascii="Times New Roman" w:cs="Times New Roman" w:eastAsia="Times New Roman" w:hAnsi="Times New Roman"/>
          <w:sz w:val="18"/>
          <w:szCs w:val="18"/>
          <w:color w:val="auto"/>
        </w:rPr>
      </w:pPr>
    </w:p>
    <w:p>
      <w:pPr>
        <w:ind w:left="1240" w:hanging="319"/>
        <w:spacing w:after="0"/>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Pre-Tax Contributions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account maintained for each Participant, and any earnings, appreciation, or losses attributable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94" w:lineRule="exact"/>
        <w:rPr>
          <w:rFonts w:ascii="Times New Roman" w:cs="Times New Roman" w:eastAsia="Times New Roman" w:hAnsi="Times New Roman"/>
          <w:sz w:val="18"/>
          <w:szCs w:val="18"/>
          <w:color w:val="auto"/>
        </w:rPr>
      </w:pPr>
    </w:p>
    <w:p>
      <w:pPr>
        <w:ind w:firstLine="921"/>
        <w:spacing w:after="0" w:line="268" w:lineRule="auto"/>
        <w:tabs>
          <w:tab w:leader="none" w:pos="119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Profits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sum of consolidated net income of the Company and the after-tax cost of interest on all short-term and long-term debt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To the extent authorized by the Administration there shall be excluded from “Profits” all losses, income or gain resulting from discontinued operations, disposal of discontinued operations, extraordinary items and changes in accounting practices.</w:t>
      </w:r>
    </w:p>
    <w:p>
      <w:pPr>
        <w:spacing w:after="0" w:line="62" w:lineRule="exact"/>
        <w:rPr>
          <w:rFonts w:ascii="Times New Roman" w:cs="Times New Roman" w:eastAsia="Times New Roman" w:hAnsi="Times New Roman"/>
          <w:sz w:val="18"/>
          <w:szCs w:val="18"/>
          <w:color w:val="auto"/>
        </w:rPr>
      </w:pPr>
    </w:p>
    <w:p>
      <w:pPr>
        <w:ind w:right="180" w:firstLine="921"/>
        <w:spacing w:after="0" w:line="286" w:lineRule="auto"/>
        <w:tabs>
          <w:tab w:leader="none" w:pos="125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Regular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total compensation paid by the Company or a Participating Employer to an Employee for each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that is currently includible in gross income for Puerto Rico income tax purposes:</w:t>
      </w:r>
    </w:p>
    <w:p>
      <w:pPr>
        <w:spacing w:after="0" w:line="46" w:lineRule="exact"/>
        <w:rPr>
          <w:rFonts w:ascii="Times New Roman" w:cs="Times New Roman" w:eastAsia="Times New Roman" w:hAnsi="Times New Roman"/>
          <w:sz w:val="18"/>
          <w:szCs w:val="18"/>
          <w:color w:val="auto"/>
        </w:rPr>
      </w:pPr>
    </w:p>
    <w:p>
      <w:pPr>
        <w:ind w:left="460" w:right="60" w:firstLine="881"/>
        <w:spacing w:after="0" w:line="291" w:lineRule="auto"/>
        <w:tabs>
          <w:tab w:leader="none" w:pos="1551"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including</w:t>
      </w:r>
      <w:r>
        <w:rPr>
          <w:rFonts w:ascii="Times New Roman" w:cs="Times New Roman" w:eastAsia="Times New Roman" w:hAnsi="Times New Roman"/>
          <w:sz w:val="17"/>
          <w:szCs w:val="17"/>
          <w:color w:val="auto"/>
        </w:rPr>
        <w:t>: overtime, administrative and discretionary bonuses (including completion bonuses, gainsharing bonuses and performance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related bonuses); sales incentive bonuses; field premiums; back pay and sick pay; plus the Employee’s Pre-Tax Contributions and amounts contributed to a plan described in United States Internal Revenue Code of 1986 Sections 125 or 132; and the 9/12 of the incentive compensation (including</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80"/>
          </w:cols>
          <w:pgMar w:left="240" w:top="266" w:right="279" w:bottom="1440" w:gutter="0" w:footer="0" w:header="0"/>
        </w:sectPr>
      </w:pPr>
    </w:p>
    <w:bookmarkStart w:id="71" w:name="page72"/>
    <w:bookmarkEnd w:id="71"/>
    <w:p>
      <w:pPr>
        <w:ind w:left="4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management incentive bonuses paid in both cash and restricted stock and local incentive bonuses) paid during the Plan Year for services rendered in the preceding Plan Year, and the 3/12 of the incentive compensation (of the same types) paid during the preceding Plan Year for services rendered in the Plan Year preceding the preceding Plan Year (unless, for periods beginning on or after February 1, 2000, the Participant elects all such incentive compensation paid for prior Plan Years to be included in Regular Compensation for the prior Plan Years, or unless the Participant elects that no such incentive compensation will be included in his or her Regular Compensation);</w:t>
      </w:r>
    </w:p>
    <w:p>
      <w:pPr>
        <w:spacing w:after="0" w:line="72" w:lineRule="exact"/>
        <w:rPr>
          <w:sz w:val="20"/>
          <w:szCs w:val="20"/>
          <w:color w:val="auto"/>
        </w:rPr>
      </w:pPr>
    </w:p>
    <w:p>
      <w:pPr>
        <w:ind w:left="460" w:firstLine="881"/>
        <w:spacing w:after="0" w:line="255" w:lineRule="auto"/>
        <w:tabs>
          <w:tab w:leader="none" w:pos="160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but excluding</w:t>
      </w:r>
      <w:r>
        <w:rPr>
          <w:rFonts w:ascii="Times New Roman" w:cs="Times New Roman" w:eastAsia="Times New Roman" w:hAnsi="Times New Roman"/>
          <w:sz w:val="18"/>
          <w:szCs w:val="18"/>
          <w:color w:val="auto"/>
        </w:rPr>
        <w:t>: hiring bonuses; stay bonuses; retention bonuses; awards (including safety awards, “Gutbuster” awards and other similar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awards); amounts received as deferred compensation; disability payments from insurance or the Long-Term Disability Plan for Employees of FMC Corporation; workers’ compensation benefits; state disability benefits; flexible credits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xml:space="preserve"> wellness awards and payments for opting out of benefit coverage); expatriate premiums; grievance or settlement pay; pay in lieu of notice; severance pay; accrued (but not earned) vacation; other special payments such as reimbursements, relocation or moving expense allowances; stock options or other stock-based compensation (except as provided above); effective January 1, 2000, any gross-up paid by a Participating Employer on any amount paid that is Regular Compensation (as defined herein); other distributions that receive special tax benefits; any amounts paid by a Participating Employer to cover an Employee’s FICA tax obligation as to amounts deferred or accrued under any nonqualified retirement plan of a Participating Employer; and any gross-up paid by a Participating Employer on any amount paid that is not Regular Compensation (as defined herein).</w:t>
      </w:r>
    </w:p>
    <w:p>
      <w:pPr>
        <w:spacing w:after="0" w:line="186" w:lineRule="exact"/>
        <w:rPr>
          <w:sz w:val="20"/>
          <w:szCs w:val="20"/>
          <w:color w:val="auto"/>
        </w:rPr>
      </w:pPr>
    </w:p>
    <w:p>
      <w:pPr>
        <w:ind w:right="500" w:firstLine="1484"/>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no amounts paid to a Participant more than 30 days after his or her termination of employment with the Company or a Participating Employer will be considered Regular Compensation.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270" w:right="259" w:bottom="1440" w:gutter="0" w:footer="0" w:header="0"/>
        </w:sectPr>
      </w:pPr>
    </w:p>
    <w:bookmarkStart w:id="72" w:name="page73"/>
    <w:bookmarkEnd w:id="72"/>
    <w:p>
      <w:pPr>
        <w:ind w:left="1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Participant’s Regular Compensation will be conclusively determined according to the Company’s records.</w:t>
      </w:r>
    </w:p>
    <w:p>
      <w:pPr>
        <w:spacing w:after="0" w:line="113" w:lineRule="exact"/>
        <w:rPr>
          <w:sz w:val="20"/>
          <w:szCs w:val="20"/>
          <w:color w:val="auto"/>
        </w:rPr>
      </w:pPr>
    </w:p>
    <w:p>
      <w:pPr>
        <w:ind w:left="1220" w:hanging="339"/>
        <w:spacing w:after="0"/>
        <w:tabs>
          <w:tab w:leader="none" w:pos="12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common stock of FMC.</w:t>
      </w:r>
    </w:p>
    <w:p>
      <w:pPr>
        <w:spacing w:after="0" w:line="117" w:lineRule="exact"/>
        <w:rPr>
          <w:rFonts w:ascii="Times New Roman" w:cs="Times New Roman" w:eastAsia="Times New Roman" w:hAnsi="Times New Roman"/>
          <w:sz w:val="18"/>
          <w:szCs w:val="18"/>
          <w:color w:val="auto"/>
        </w:rPr>
      </w:pPr>
    </w:p>
    <w:p>
      <w:pPr>
        <w:ind w:left="-40" w:right="120" w:firstLine="921"/>
        <w:spacing w:after="0" w:line="286" w:lineRule="auto"/>
        <w:tabs>
          <w:tab w:leader="none" w:pos="113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Stock Fund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investment fund established and maintained by the Trustee as part of the Trust Fund. Any contributions to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placed in the Stock Fund, and all dividends, other earnings and appreciation attributable thereto, shall be invested only in Stock.</w:t>
      </w:r>
    </w:p>
    <w:p>
      <w:pPr>
        <w:spacing w:after="0" w:line="46" w:lineRule="exact"/>
        <w:rPr>
          <w:rFonts w:ascii="Times New Roman" w:cs="Times New Roman" w:eastAsia="Times New Roman" w:hAnsi="Times New Roman"/>
          <w:sz w:val="18"/>
          <w:szCs w:val="18"/>
          <w:color w:val="auto"/>
        </w:rPr>
      </w:pPr>
    </w:p>
    <w:p>
      <w:pPr>
        <w:ind w:left="-40" w:firstLine="921"/>
        <w:spacing w:after="0" w:line="262" w:lineRule="auto"/>
        <w:tabs>
          <w:tab w:leader="none" w:pos="113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trust established by the Trust Agreement. “Trust Agreement” means the trust agreement or agreements, as amended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entered into by the Committee and the Trustee pursuant to Subsection 13(h). “Trustee” means the trustee or trustees at any time appointed by the Committee pursuant to Subsection 13(h). “Trust Fund” means the trust fund established and maintained by the Trustee to hold all assets of the Plan pursuant to the Trust Agreement.</w:t>
      </w:r>
    </w:p>
    <w:p>
      <w:pPr>
        <w:spacing w:after="0" w:line="68" w:lineRule="exact"/>
        <w:rPr>
          <w:rFonts w:ascii="Times New Roman" w:cs="Times New Roman" w:eastAsia="Times New Roman" w:hAnsi="Times New Roman"/>
          <w:sz w:val="18"/>
          <w:szCs w:val="18"/>
          <w:color w:val="auto"/>
        </w:rPr>
      </w:pPr>
    </w:p>
    <w:p>
      <w:pPr>
        <w:ind w:left="-40" w:right="120" w:firstLine="921"/>
        <w:spacing w:after="0" w:line="286" w:lineRule="auto"/>
        <w:tabs>
          <w:tab w:leader="none" w:pos="12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Valuation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date as of which the Trustee shall determine the value of the assets in the Trust Fund for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determining the value of each Participant’s account, which shall be each business day in accordance with the rules applied in a consistent and uniform basis.</w:t>
      </w:r>
    </w:p>
    <w:p>
      <w:pPr>
        <w:spacing w:after="0" w:line="46" w:lineRule="exact"/>
        <w:rPr>
          <w:rFonts w:ascii="Times New Roman" w:cs="Times New Roman" w:eastAsia="Times New Roman" w:hAnsi="Times New Roman"/>
          <w:sz w:val="18"/>
          <w:szCs w:val="18"/>
          <w:color w:val="auto"/>
        </w:rPr>
      </w:pPr>
    </w:p>
    <w:p>
      <w:pPr>
        <w:ind w:left="1140" w:hanging="259"/>
        <w:spacing w:after="0"/>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calendar year.</w:t>
      </w:r>
    </w:p>
    <w:p>
      <w:pPr>
        <w:spacing w:after="0" w:line="117" w:lineRule="exact"/>
        <w:rPr>
          <w:rFonts w:ascii="Times New Roman" w:cs="Times New Roman" w:eastAsia="Times New Roman" w:hAnsi="Times New Roman"/>
          <w:sz w:val="18"/>
          <w:szCs w:val="18"/>
          <w:color w:val="auto"/>
        </w:rPr>
      </w:pPr>
    </w:p>
    <w:p>
      <w:pPr>
        <w:jc w:val="both"/>
        <w:ind w:left="-40" w:firstLine="921"/>
        <w:spacing w:after="0" w:line="262" w:lineRule="auto"/>
        <w:tabs>
          <w:tab w:leader="none" w:pos="13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Year of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calendar months of employment by the Company or an affiliate (including any interruption of employment up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 months) divided by 12. A partial month shall be counted as a whole month, and any fractional Year of Service shall be ignored. “Year of Service” shall not include (i) any period in excess of 12 months for which the individual does not receive Regular Compensation, including (without limitation) any leave of absence without pay or (ii) any other interruption of employment in excess of 12 months.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40"/>
          </w:cols>
          <w:pgMar w:left="280" w:top="270" w:right="27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4.2(a)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FMC PUERTO RICO SAVINGS AND INVESTMENT PLAN</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FMC Technologies AG (the “Company”) maintains the FMC Puerto Rico Savings and Investment Plan (the “Plan”);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deems it necessary and desirable to amend the Plan in certain respects; and</w:t>
      </w:r>
    </w:p>
    <w:p>
      <w:pPr>
        <w:spacing w:after="0" w:line="225" w:lineRule="exact"/>
        <w:rPr>
          <w:sz w:val="20"/>
          <w:szCs w:val="20"/>
          <w:color w:val="auto"/>
        </w:rPr>
      </w:pPr>
    </w:p>
    <w:p>
      <w:pPr>
        <w:ind w:right="2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Second Amendment shall supersede the provisions of the Plan to the extent those provisions are inconsistent with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amendment;</w:t>
      </w:r>
    </w:p>
    <w:p>
      <w:pPr>
        <w:spacing w:after="0" w:line="155" w:lineRule="exact"/>
        <w:rPr>
          <w:sz w:val="20"/>
          <w:szCs w:val="20"/>
          <w:color w:val="auto"/>
        </w:rPr>
      </w:pPr>
    </w:p>
    <w:p>
      <w:pPr>
        <w:ind w:right="2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by virtue of the authority reserved to the Company by Section 16(b) of the Plan, the Plan is hereby amended in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respects:</w:t>
      </w:r>
    </w:p>
    <w:p>
      <w:pPr>
        <w:spacing w:after="0" w:line="64" w:lineRule="exact"/>
        <w:rPr>
          <w:sz w:val="20"/>
          <w:szCs w:val="20"/>
          <w:color w:val="auto"/>
        </w:rPr>
      </w:pPr>
    </w:p>
    <w:p>
      <w:pPr>
        <w:ind w:left="900" w:hanging="446"/>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July 15, 2010, Section 7 of the Plan is hereby amended to add a new Subsection 7(f) which shall read as follows:</w:t>
      </w:r>
    </w:p>
    <w:p>
      <w:pPr>
        <w:spacing w:after="0" w:line="131" w:lineRule="exact"/>
        <w:rPr>
          <w:sz w:val="20"/>
          <w:szCs w:val="20"/>
          <w:color w:val="auto"/>
        </w:rPr>
      </w:pPr>
    </w:p>
    <w:p>
      <w:pPr>
        <w:ind w:left="900" w:right="20" w:hanging="446"/>
        <w:spacing w:after="0" w:line="282" w:lineRule="auto"/>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of the Plan to the contrary, with respect to any Participant who remains an Employee of the Company on July 15, 2010 shall become fully vested in his or her entire Aggregate Account under the Plan.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amendment to be executed by a duly authorized representative this 20th day of December,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2010.</w:t>
      </w:r>
    </w:p>
    <w:p>
      <w:pPr>
        <w:spacing w:after="0" w:line="23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FMC Technologies,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Mark J.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2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7"/>
          <w:szCs w:val="17"/>
          <w:color w:val="auto"/>
        </w:rPr>
        <w:t>Vice-President, Administration</w:t>
      </w:r>
    </w:p>
    <w:p>
      <w:pPr>
        <w:sectPr>
          <w:pgSz w:w="11900" w:h="16838" w:orient="portrait"/>
          <w:cols w:equalWidth="0" w:num="1">
            <w:col w:w="11420"/>
          </w:cols>
          <w:pgMar w:left="240" w:top="117" w:right="2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99 Bishopsgate</w:t>
      </w:r>
    </w:p>
    <w:p>
      <w:pPr>
        <w:spacing w:after="0" w:line="2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London EC2M 3XF</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Tel: +44(0)20.7710.1000  Fax: +44(0)20.7374.4460</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www.lw.com</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568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FIRM / AFFILIATE OFFICES</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Barcelona</w:t>
            </w:r>
          </w:p>
        </w:tc>
        <w:tc>
          <w:tcPr>
            <w:tcW w:w="1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Moscow</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Beijing</w:t>
            </w:r>
          </w:p>
        </w:tc>
        <w:tc>
          <w:tcPr>
            <w:tcW w:w="1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Munich</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Boston</w:t>
            </w:r>
          </w:p>
        </w:tc>
        <w:tc>
          <w:tcPr>
            <w:tcW w:w="1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Brussels</w:t>
            </w:r>
          </w:p>
        </w:tc>
        <w:tc>
          <w:tcPr>
            <w:tcW w:w="1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Orange County</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Century City</w:t>
            </w:r>
          </w:p>
        </w:tc>
        <w:tc>
          <w:tcPr>
            <w:tcW w:w="1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Paris</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27 February 2017</w:t>
            </w:r>
          </w:p>
        </w:tc>
        <w:tc>
          <w:tcPr>
            <w:tcW w:w="40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Chicago</w:t>
            </w:r>
          </w:p>
        </w:tc>
        <w:tc>
          <w:tcPr>
            <w:tcW w:w="1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Dubai</w:t>
            </w:r>
          </w:p>
        </w:tc>
        <w:tc>
          <w:tcPr>
            <w:tcW w:w="1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Rome</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Düsseldorf</w:t>
            </w:r>
          </w:p>
        </w:tc>
        <w:tc>
          <w:tcPr>
            <w:tcW w:w="1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San Diego</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Frankfurt</w:t>
            </w:r>
          </w:p>
        </w:tc>
        <w:tc>
          <w:tcPr>
            <w:tcW w:w="1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Hamburg</w:t>
            </w:r>
          </w:p>
        </w:tc>
        <w:tc>
          <w:tcPr>
            <w:tcW w:w="1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Seoul</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Hong Kong</w:t>
            </w:r>
          </w:p>
        </w:tc>
        <w:tc>
          <w:tcPr>
            <w:tcW w:w="1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Shanghai</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Houston</w:t>
            </w:r>
          </w:p>
        </w:tc>
        <w:tc>
          <w:tcPr>
            <w:tcW w:w="1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Silicon Valley</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London</w:t>
            </w:r>
          </w:p>
        </w:tc>
        <w:tc>
          <w:tcPr>
            <w:tcW w:w="1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Los Angeles</w:t>
            </w:r>
          </w:p>
        </w:tc>
        <w:tc>
          <w:tcPr>
            <w:tcW w:w="1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Tokyo</w:t>
            </w:r>
          </w:p>
        </w:tc>
      </w:tr>
      <w:tr>
        <w:trPr>
          <w:trHeight w:val="216"/>
        </w:trPr>
        <w:tc>
          <w:tcPr>
            <w:tcW w:w="3960" w:type="dxa"/>
            <w:vAlign w:val="bottom"/>
          </w:tcPr>
          <w:p>
            <w:pPr>
              <w:spacing w:after="0"/>
              <w:rPr>
                <w:sz w:val="18"/>
                <w:szCs w:val="18"/>
                <w:color w:val="auto"/>
              </w:rPr>
            </w:pPr>
          </w:p>
        </w:tc>
        <w:tc>
          <w:tcPr>
            <w:tcW w:w="40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Madrid</w:t>
            </w:r>
          </w:p>
        </w:tc>
        <w:tc>
          <w:tcPr>
            <w:tcW w:w="16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6"/>
              </w:rPr>
              <w:t>Washington, D.C.</w:t>
            </w:r>
          </w:p>
        </w:tc>
      </w:tr>
      <w:tr>
        <w:trPr>
          <w:trHeight w:val="234"/>
        </w:trPr>
        <w:tc>
          <w:tcPr>
            <w:tcW w:w="3960" w:type="dxa"/>
            <w:vAlign w:val="bottom"/>
          </w:tcPr>
          <w:p>
            <w:pPr>
              <w:spacing w:after="0"/>
              <w:rPr>
                <w:sz w:val="20"/>
                <w:szCs w:val="20"/>
                <w:color w:val="auto"/>
              </w:rPr>
            </w:pPr>
          </w:p>
        </w:tc>
        <w:tc>
          <w:tcPr>
            <w:tcW w:w="40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Milan</w:t>
            </w:r>
          </w:p>
        </w:tc>
        <w:tc>
          <w:tcPr>
            <w:tcW w:w="1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-2331720</wp:posOffset>
            </wp:positionV>
            <wp:extent cx="19380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38020"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TechnipFMC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St. Paul’s Churchyard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EC4M 8AP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TechnipFMC plc – Registration Statements on Form S-8 Exhibit 5.1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color w:val="auto"/>
        </w:rPr>
        <w:t>We have acted as English legal advisers to TechnipFMC plc, a public limited company incorporated in England and Wales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w:t>
      </w:r>
    </w:p>
    <w:p>
      <w:pPr>
        <w:spacing w:after="0" w:line="60" w:lineRule="exact"/>
        <w:rPr>
          <w:sz w:val="20"/>
          <w:szCs w:val="20"/>
          <w:color w:val="auto"/>
        </w:rPr>
      </w:pPr>
    </w:p>
    <w:p>
      <w:pPr>
        <w:ind w:left="900" w:right="100" w:hanging="446"/>
        <w:spacing w:after="0" w:line="268" w:lineRule="auto"/>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business combination effective as of 16 January 2017 among Technip S.A.,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Technip</w:t>
      </w:r>
      <w:r>
        <w:rPr>
          <w:rFonts w:ascii="Times New Roman" w:cs="Times New Roman" w:eastAsia="Times New Roman" w:hAnsi="Times New Roman"/>
          <w:sz w:val="18"/>
          <w:szCs w:val="18"/>
          <w:color w:val="auto"/>
        </w:rPr>
        <w:t>”), FMC Technologies, Inc., a Delaware corporation (“</w:t>
      </w:r>
      <w:r>
        <w:rPr>
          <w:rFonts w:ascii="Times New Roman" w:cs="Times New Roman" w:eastAsia="Times New Roman" w:hAnsi="Times New Roman"/>
          <w:sz w:val="18"/>
          <w:szCs w:val="18"/>
          <w:b w:val="1"/>
          <w:bCs w:val="1"/>
          <w:color w:val="auto"/>
        </w:rPr>
        <w:t>FMCTI</w:t>
      </w:r>
      <w:r>
        <w:rPr>
          <w:rFonts w:ascii="Times New Roman" w:cs="Times New Roman" w:eastAsia="Times New Roman" w:hAnsi="Times New Roman"/>
          <w:sz w:val="18"/>
          <w:szCs w:val="18"/>
          <w:color w:val="auto"/>
        </w:rPr>
        <w:t>”) and the Company pursuant to a definitive business combination agreement dated 14 June 2016 between FMCTI, Technip and the Company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and</w:t>
      </w:r>
    </w:p>
    <w:p>
      <w:pPr>
        <w:spacing w:after="0" w:line="80" w:lineRule="exact"/>
        <w:rPr>
          <w:rFonts w:ascii="Times New Roman" w:cs="Times New Roman" w:eastAsia="Times New Roman" w:hAnsi="Times New Roman"/>
          <w:sz w:val="18"/>
          <w:szCs w:val="18"/>
          <w:color w:val="auto"/>
        </w:rPr>
      </w:pPr>
    </w:p>
    <w:p>
      <w:pPr>
        <w:ind w:left="900" w:right="100" w:hanging="446"/>
        <w:spacing w:after="0" w:line="289" w:lineRule="auto"/>
        <w:tabs>
          <w:tab w:leader="none" w:pos="9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preparation and filing of the registration statements on Form S-8 to which this opinion letter is attached as an exhibit (such registration statements, as amended, including the documents incorporated by reference therein, the “</w:t>
      </w:r>
      <w:r>
        <w:rPr>
          <w:rFonts w:ascii="Times New Roman" w:cs="Times New Roman" w:eastAsia="Times New Roman" w:hAnsi="Times New Roman"/>
          <w:sz w:val="17"/>
          <w:szCs w:val="17"/>
          <w:b w:val="1"/>
          <w:bCs w:val="1"/>
          <w:color w:val="auto"/>
        </w:rPr>
        <w:t>Registration Statements</w:t>
      </w:r>
      <w:r>
        <w:rPr>
          <w:rFonts w:ascii="Times New Roman" w:cs="Times New Roman" w:eastAsia="Times New Roman" w:hAnsi="Times New Roman"/>
          <w:sz w:val="17"/>
          <w:szCs w:val="17"/>
          <w:color w:val="auto"/>
        </w:rPr>
        <w:t>”) filed with the United States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pursuant to the United States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set out in the Registration Statements, it is proposed that up to 41,933,663 ordinary shares of the Company each having a nominal value of $1.00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will be issued upon the exercise or settlement of equity awards granted under:</w:t>
      </w:r>
    </w:p>
    <w:p>
      <w:pPr>
        <w:spacing w:after="0" w:line="63" w:lineRule="exact"/>
        <w:rPr>
          <w:sz w:val="20"/>
          <w:szCs w:val="20"/>
          <w:color w:val="auto"/>
        </w:rPr>
      </w:pPr>
    </w:p>
    <w:p>
      <w:pPr>
        <w:ind w:left="900" w:hanging="446"/>
        <w:spacing w:after="0"/>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TechnipFMC plc Incentive Award Plan (the “</w:t>
      </w:r>
      <w:r>
        <w:rPr>
          <w:rFonts w:ascii="Times New Roman" w:cs="Times New Roman" w:eastAsia="Times New Roman" w:hAnsi="Times New Roman"/>
          <w:sz w:val="18"/>
          <w:szCs w:val="18"/>
          <w:b w:val="1"/>
          <w:bCs w:val="1"/>
          <w:color w:val="auto"/>
        </w:rPr>
        <w:t>TechnipFMC Plan</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2010 Technip Incentive and Reward Plan;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2011 Technip Incentive and Reward Plan;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2012 Technip Incentive and Reward Plan;</w:t>
      </w:r>
    </w:p>
    <w:p>
      <w:pPr>
        <w:spacing w:after="0" w:line="158"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 99 Bishopsgate, London EC2M 3XF, and such persons are either solicitors, registered foreign lawyers or European lawyers. We are affiliated with the firm Latham &amp; Watkins LLP, a limited liability partnership organised under the laws of Delaware.</w:t>
      </w:r>
    </w:p>
    <w:p>
      <w:pPr>
        <w:sectPr>
          <w:pgSz w:w="11900" w:h="16838" w:orient="portrait"/>
          <w:cols w:equalWidth="0" w:num="1">
            <w:col w:w="11420"/>
          </w:cols>
          <w:pgMar w:left="240" w:top="117"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 February 2017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20800" cy="1028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20800" cy="10287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900" w:hanging="446"/>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2013 Technip Incentive and Reward Plan;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2014 Technip Incentive and Reward Plan;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2015 Technip Incentive and Reward Plan;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2016 Technip Incentive and Reward Plan;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Technip Capital 2012 Plan;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Technip Capital 2015 Plan;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FMC Technologies, Inc. Incentive Compensation and Stock Plan;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FMC Technologies, Inc. Savings and Investment Plan;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FMC Technologies, Inc. International Savings and Investment Plan;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FMC Puerto Rico Savings and Investment Plan;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FMC Technologies, Inc. Non-Qualified Savings and Investment Plan,</w:t>
      </w:r>
    </w:p>
    <w:p>
      <w:pPr>
        <w:spacing w:after="0" w:line="22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(together, the “</w:t>
      </w:r>
      <w:r>
        <w:rPr>
          <w:rFonts w:ascii="Times New Roman" w:cs="Times New Roman" w:eastAsia="Times New Roman" w:hAnsi="Times New Roman"/>
          <w:sz w:val="18"/>
          <w:szCs w:val="18"/>
          <w:b w:val="1"/>
          <w:bCs w:val="1"/>
          <w:color w:val="auto"/>
        </w:rPr>
        <w:t>Equity Plans</w:t>
      </w:r>
      <w:r>
        <w:rPr>
          <w:rFonts w:ascii="Times New Roman" w:cs="Times New Roman" w:eastAsia="Times New Roman" w:hAnsi="Times New Roman"/>
          <w:sz w:val="18"/>
          <w:szCs w:val="18"/>
          <w:color w:val="auto"/>
        </w:rPr>
        <w:t>”), and each of which has been assumed or adopted by the Company pursuant to the Business Combination Agreement and/or a resolution of the board of directors of the Company on 11 January 2017.</w:t>
      </w:r>
    </w:p>
    <w:p>
      <w:pPr>
        <w:spacing w:after="0" w:line="303" w:lineRule="exact"/>
        <w:rPr>
          <w:sz w:val="20"/>
          <w:szCs w:val="20"/>
          <w:color w:val="auto"/>
        </w:rPr>
      </w:pPr>
    </w:p>
    <w:p>
      <w:pPr>
        <w:ind w:right="9380" w:firstLine="8"/>
        <w:spacing w:after="0" w:line="385" w:lineRule="auto"/>
        <w:tabs>
          <w:tab w:leader="none" w:pos="446"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 1.1 Purpose</w:t>
      </w:r>
    </w:p>
    <w:p>
      <w:pPr>
        <w:spacing w:after="0" w:line="2" w:lineRule="exact"/>
        <w:rPr>
          <w:sz w:val="20"/>
          <w:szCs w:val="20"/>
          <w:color w:val="auto"/>
        </w:rPr>
      </w:pPr>
    </w:p>
    <w:p>
      <w:pPr>
        <w:ind w:left="460" w:right="620"/>
        <w:spacing w:after="0" w:line="282" w:lineRule="auto"/>
        <w:rPr>
          <w:sz w:val="20"/>
          <w:szCs w:val="20"/>
          <w:color w:val="auto"/>
        </w:rPr>
      </w:pPr>
      <w:r>
        <w:rPr>
          <w:rFonts w:ascii="Times New Roman" w:cs="Times New Roman" w:eastAsia="Times New Roman" w:hAnsi="Times New Roman"/>
          <w:sz w:val="18"/>
          <w:szCs w:val="18"/>
          <w:color w:val="auto"/>
        </w:rPr>
        <w:t>In connection with the Registration Statements, we have been asked to provide an opinion on certain matters, as set out below. We have taken instruction in this regard solely from the Company.</w:t>
      </w:r>
    </w:p>
    <w:p>
      <w:pPr>
        <w:spacing w:after="0" w:line="30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Defined terms and headings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this letter:</w:t>
      </w:r>
    </w:p>
    <w:p>
      <w:pPr>
        <w:spacing w:after="0" w:line="131" w:lineRule="exact"/>
        <w:rPr>
          <w:sz w:val="20"/>
          <w:szCs w:val="20"/>
          <w:color w:val="auto"/>
        </w:rPr>
      </w:pPr>
    </w:p>
    <w:p>
      <w:pPr>
        <w:ind w:left="900" w:hanging="446"/>
        <w:spacing w:after="0" w:line="282" w:lineRule="auto"/>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used without definition in this letter or the schedules hereto have the meanings assigned to them in the Registration Statements unless a contrary indication appears;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for ease of reference only and shall not affect interpretation.</w:t>
      </w:r>
    </w:p>
    <w:p>
      <w:pPr>
        <w:spacing w:after="0" w:line="37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Legal review</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purpose of issuing this letter, we have reviewed only the following documents and conducted only the following enquiries and searches:</w:t>
      </w:r>
    </w:p>
    <w:p>
      <w:pPr>
        <w:spacing w:after="0" w:line="131" w:lineRule="exact"/>
        <w:rPr>
          <w:sz w:val="20"/>
          <w:szCs w:val="20"/>
          <w:color w:val="auto"/>
        </w:rPr>
      </w:pPr>
    </w:p>
    <w:p>
      <w:pPr>
        <w:jc w:val="center"/>
        <w:ind w:left="5660" w:right="280" w:hanging="5206"/>
        <w:spacing w:after="0" w:line="454" w:lineRule="auto"/>
        <w:tabs>
          <w:tab w:leader="none" w:pos="89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online search at Companies House in respect of information available for inspection about the Company conducted on 27 February 2017; 2</w:t>
      </w:r>
    </w:p>
    <w:p>
      <w:pPr>
        <w:sectPr>
          <w:pgSz w:w="11900" w:h="16838" w:orient="portrait"/>
          <w:cols w:equalWidth="0" w:num="1">
            <w:col w:w="11280"/>
          </w:cols>
          <w:pgMar w:left="240" w:top="266"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 February 2017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20800" cy="1028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20800" cy="10287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900" w:hanging="446"/>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enquiry by telephone at the Central Index of Winding Up Petitions, London on 27 February 2017 at 10:33 am (London time) ((a) and</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together, the “</w:t>
      </w:r>
      <w:r>
        <w:rPr>
          <w:rFonts w:ascii="Times New Roman" w:cs="Times New Roman" w:eastAsia="Times New Roman" w:hAnsi="Times New Roman"/>
          <w:sz w:val="18"/>
          <w:szCs w:val="18"/>
          <w:b w:val="1"/>
          <w:bCs w:val="1"/>
          <w:color w:val="auto"/>
        </w:rPr>
        <w:t>Searches</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written resolutions of the board of directors of the Company dated 18 May 2016 approving the Business Combination Agreement;</w:t>
      </w:r>
    </w:p>
    <w:p>
      <w:pPr>
        <w:spacing w:after="0" w:line="128" w:lineRule="exact"/>
        <w:rPr>
          <w:rFonts w:ascii="Times New Roman" w:cs="Times New Roman" w:eastAsia="Times New Roman" w:hAnsi="Times New Roman"/>
          <w:sz w:val="18"/>
          <w:szCs w:val="18"/>
          <w:color w:val="auto"/>
        </w:rPr>
      </w:pPr>
    </w:p>
    <w:p>
      <w:pPr>
        <w:ind w:left="900" w:hanging="446"/>
        <w:spacing w:after="0" w:line="284"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written resolutions of the board of directors of the Company dated 11 January 2017 containing resolutions approving,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TechnipFMC Plan;</w:t>
      </w:r>
    </w:p>
    <w:p>
      <w:pPr>
        <w:spacing w:after="0" w:line="63" w:lineRule="exact"/>
        <w:rPr>
          <w:rFonts w:ascii="Times New Roman" w:cs="Times New Roman" w:eastAsia="Times New Roman" w:hAnsi="Times New Roman"/>
          <w:sz w:val="18"/>
          <w:szCs w:val="18"/>
          <w:color w:val="auto"/>
        </w:rPr>
      </w:pPr>
    </w:p>
    <w:p>
      <w:pPr>
        <w:ind w:left="900" w:right="100" w:hanging="446"/>
        <w:spacing w:after="0" w:line="259"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written resolutions of the shareholders dated 11 January 2017 and 12 January 2017 authorising the directors to,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(i) allot shares up to an aggregate nominal amount of $500,000,000 in connection with the transactions contemplated by the Business Combination Agreement; (ii) adopt the TechnipFMC Plan; (iii) reserve an aggregate of up to 24,100,000 ordinary shares for purposes of issuances upon the grant, exercise or settlement of incentive awards under the TechnipFMC Plan; and (iv) assume the remaining Equity Plans pursuant to the terms of the Business Combination Agreement;</w:t>
      </w:r>
    </w:p>
    <w:p>
      <w:pPr>
        <w:spacing w:after="0" w:line="8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TechnipFMC Plan;</w:t>
      </w:r>
    </w:p>
    <w:p>
      <w:pPr>
        <w:spacing w:after="0" w:line="12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of the resolutions passed at a meeting of the compensation committee of the Company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held on</w:t>
      </w:r>
    </w:p>
    <w:p>
      <w:pPr>
        <w:spacing w:after="0" w:line="31" w:lineRule="exact"/>
        <w:rPr>
          <w:rFonts w:ascii="Times New Roman" w:cs="Times New Roman" w:eastAsia="Times New Roman" w:hAnsi="Times New Roman"/>
          <w:sz w:val="18"/>
          <w:szCs w:val="18"/>
          <w:color w:val="auto"/>
        </w:rPr>
      </w:pPr>
    </w:p>
    <w:p>
      <w:pPr>
        <w:ind w:left="90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February 2017, containing, among other things, resolutions delegating certain authorities of the Compensation Committee to grant awards to an equity plan committee (the “</w:t>
      </w:r>
      <w:r>
        <w:rPr>
          <w:rFonts w:ascii="Times New Roman" w:cs="Times New Roman" w:eastAsia="Times New Roman" w:hAnsi="Times New Roman"/>
          <w:sz w:val="18"/>
          <w:szCs w:val="18"/>
          <w:b w:val="1"/>
          <w:bCs w:val="1"/>
          <w:color w:val="auto"/>
        </w:rPr>
        <w:t>Equity Plan Committee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Compensation Committee Resolutions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incorporation of the Company dated 9 December 2015;</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incorporation on change of name dated 4 August 2016;</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certificate of incorporation on re-registration as a public limited company dated 11 January 2017;</w:t>
      </w:r>
    </w:p>
    <w:p>
      <w:pPr>
        <w:spacing w:after="0" w:line="130"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current articles of association of the Company adopted pursuant to a special resolution of the shareholders passed on 12 January 2017 and effective from 16 January 2016;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copy of the Registration Statements as at 25 February 2017 and to be filed with the SEC on 27 February 2017.</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60"/>
          </w:cols>
          <w:pgMar w:left="240" w:top="266" w:right="2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 February 2017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20800" cy="102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20800" cy="10287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Applicable law</w:t>
      </w:r>
    </w:p>
    <w:p>
      <w:pPr>
        <w:spacing w:after="0" w:line="121" w:lineRule="exact"/>
        <w:rPr>
          <w:sz w:val="20"/>
          <w:szCs w:val="20"/>
          <w:color w:val="auto"/>
        </w:rPr>
      </w:pPr>
    </w:p>
    <w:p>
      <w:pPr>
        <w:ind w:left="460" w:right="80"/>
        <w:spacing w:after="0" w:line="266" w:lineRule="auto"/>
        <w:rPr>
          <w:sz w:val="20"/>
          <w:szCs w:val="20"/>
          <w:color w:val="auto"/>
        </w:rPr>
      </w:pPr>
      <w:r>
        <w:rPr>
          <w:rFonts w:ascii="Times New Roman" w:cs="Times New Roman" w:eastAsia="Times New Roman" w:hAnsi="Times New Roman"/>
          <w:sz w:val="18"/>
          <w:szCs w:val="18"/>
          <w:color w:val="auto"/>
        </w:rPr>
        <w:t>This letter, the opinions given in it, and any non-contractual obligations arising out of or in connection with this letter and/or the opinions given in it, are governed by, and to be construed in accordance with, English law and relate only to English law as applied by the English courts as at today’s date. In particular:</w:t>
      </w:r>
    </w:p>
    <w:p>
      <w:pPr>
        <w:spacing w:after="0" w:line="82" w:lineRule="exact"/>
        <w:rPr>
          <w:sz w:val="20"/>
          <w:szCs w:val="20"/>
          <w:color w:val="auto"/>
        </w:rPr>
      </w:pPr>
    </w:p>
    <w:p>
      <w:pPr>
        <w:ind w:left="900" w:right="80" w:hanging="446"/>
        <w:spacing w:after="0" w:line="282" w:lineRule="auto"/>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investigated the laws of any country other than England and we assume that no foreign law affects any of the opinions stated below;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in this letter on the laws of any jurisdiction other than England.</w:t>
      </w:r>
    </w:p>
    <w:p>
      <w:pPr>
        <w:spacing w:after="0" w:line="37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Assumptions and reservations</w:t>
      </w:r>
    </w:p>
    <w:p>
      <w:pPr>
        <w:spacing w:after="0" w:line="119" w:lineRule="exact"/>
        <w:rPr>
          <w:sz w:val="20"/>
          <w:szCs w:val="20"/>
          <w:color w:val="auto"/>
        </w:rPr>
      </w:pPr>
    </w:p>
    <w:p>
      <w:pPr>
        <w:ind w:left="460" w:right="200"/>
        <w:spacing w:after="0" w:line="267" w:lineRule="auto"/>
        <w:rPr>
          <w:sz w:val="20"/>
          <w:szCs w:val="20"/>
          <w:color w:val="auto"/>
        </w:rPr>
      </w:pPr>
      <w:r>
        <w:rPr>
          <w:rFonts w:ascii="Times New Roman" w:cs="Times New Roman" w:eastAsia="Times New Roman" w:hAnsi="Times New Roman"/>
          <w:sz w:val="18"/>
          <w:szCs w:val="18"/>
          <w:color w:val="auto"/>
        </w:rPr>
        <w:t>The opinions given in this letter are given on the basis of each of the assumptions set out in Schedule 1 (</w:t>
      </w:r>
      <w:r>
        <w:rPr>
          <w:rFonts w:ascii="Times New Roman" w:cs="Times New Roman" w:eastAsia="Times New Roman" w:hAnsi="Times New Roman"/>
          <w:sz w:val="18"/>
          <w:szCs w:val="18"/>
          <w:i w:val="1"/>
          <w:iCs w:val="1"/>
          <w:color w:val="auto"/>
        </w:rPr>
        <w:t>Assumptions</w:t>
      </w:r>
      <w:r>
        <w:rPr>
          <w:rFonts w:ascii="Times New Roman" w:cs="Times New Roman" w:eastAsia="Times New Roman" w:hAnsi="Times New Roman"/>
          <w:sz w:val="18"/>
          <w:szCs w:val="18"/>
          <w:color w:val="auto"/>
        </w:rPr>
        <w:t>) and are subject to each of the reservations set out in Schedule 2 (</w:t>
      </w:r>
      <w:r>
        <w:rPr>
          <w:rFonts w:ascii="Times New Roman" w:cs="Times New Roman" w:eastAsia="Times New Roman" w:hAnsi="Times New Roman"/>
          <w:sz w:val="18"/>
          <w:szCs w:val="18"/>
          <w:i w:val="1"/>
          <w:iCs w:val="1"/>
          <w:color w:val="auto"/>
        </w:rPr>
        <w:t>Reservations</w:t>
      </w:r>
      <w:r>
        <w:rPr>
          <w:rFonts w:ascii="Times New Roman" w:cs="Times New Roman" w:eastAsia="Times New Roman" w:hAnsi="Times New Roman"/>
          <w:sz w:val="18"/>
          <w:szCs w:val="18"/>
          <w:color w:val="auto"/>
        </w:rPr>
        <w:t>) to this letter. The opinions given in this letter are strictly limited to the matters stated in paragraph 2 (</w:t>
      </w:r>
      <w:r>
        <w:rPr>
          <w:rFonts w:ascii="Times New Roman" w:cs="Times New Roman" w:eastAsia="Times New Roman" w:hAnsi="Times New Roman"/>
          <w:sz w:val="18"/>
          <w:szCs w:val="18"/>
          <w:i w:val="1"/>
          <w:iCs w:val="1"/>
          <w:color w:val="auto"/>
        </w:rPr>
        <w:t>Opinions</w:t>
      </w:r>
      <w:r>
        <w:rPr>
          <w:rFonts w:ascii="Times New Roman" w:cs="Times New Roman" w:eastAsia="Times New Roman" w:hAnsi="Times New Roman"/>
          <w:sz w:val="18"/>
          <w:szCs w:val="18"/>
          <w:color w:val="auto"/>
        </w:rPr>
        <w:t>) below and do not extend, and should not be read as extending, by implication or otherwise, to any other matters.</w:t>
      </w:r>
    </w:p>
    <w:p>
      <w:pPr>
        <w:spacing w:after="0" w:line="320" w:lineRule="exact"/>
        <w:rPr>
          <w:sz w:val="20"/>
          <w:szCs w:val="20"/>
          <w:color w:val="auto"/>
        </w:rPr>
      </w:pPr>
    </w:p>
    <w:p>
      <w:pPr>
        <w:ind w:left="460" w:hanging="452"/>
        <w:spacing w:after="0"/>
        <w:tabs>
          <w:tab w:leader="none" w:pos="4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119"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paragraph 1 (</w:t>
      </w:r>
      <w:r>
        <w:rPr>
          <w:rFonts w:ascii="Times New Roman" w:cs="Times New Roman" w:eastAsia="Times New Roman" w:hAnsi="Times New Roman"/>
          <w:sz w:val="18"/>
          <w:szCs w:val="18"/>
          <w:i w:val="1"/>
          <w:iCs w:val="1"/>
          <w:color w:val="auto"/>
        </w:rPr>
        <w:t>Introduction</w:t>
      </w:r>
      <w:r>
        <w:rPr>
          <w:rFonts w:ascii="Times New Roman" w:cs="Times New Roman" w:eastAsia="Times New Roman" w:hAnsi="Times New Roman"/>
          <w:sz w:val="18"/>
          <w:szCs w:val="18"/>
          <w:color w:val="auto"/>
        </w:rPr>
        <w:t>) and the other matters set out in this letter and its Schedules, and subject further to the following:</w:t>
      </w:r>
    </w:p>
    <w:p>
      <w:pPr>
        <w:spacing w:after="0" w:line="132"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Statements, as finally amended, having become effective under the Securities Act;</w:t>
      </w:r>
    </w:p>
    <w:p>
      <w:pPr>
        <w:spacing w:after="0" w:line="130" w:lineRule="exact"/>
        <w:rPr>
          <w:rFonts w:ascii="Times New Roman" w:cs="Times New Roman" w:eastAsia="Times New Roman" w:hAnsi="Times New Roman"/>
          <w:sz w:val="18"/>
          <w:szCs w:val="18"/>
          <w:color w:val="auto"/>
        </w:rPr>
      </w:pPr>
    </w:p>
    <w:p>
      <w:pPr>
        <w:ind w:left="900" w:hanging="446"/>
        <w:spacing w:after="0" w:line="257" w:lineRule="auto"/>
        <w:tabs>
          <w:tab w:leader="none" w:pos="9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the Company in a general meeting or within the Company’s articles of association duly and validly having resolved: (i) as an ordinary resolution, or within the Company’s articles of association, to authorise the board of directors of the Company pursuant to section 551 of the Companies Act 2006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to allot Shares, or to grant rights to subscribe for Shares, pursuant to the Equity Plans, and</w:t>
      </w:r>
    </w:p>
    <w:p>
      <w:pPr>
        <w:spacing w:after="0" w:line="1" w:lineRule="exact"/>
        <w:rPr>
          <w:rFonts w:ascii="Times New Roman" w:cs="Times New Roman" w:eastAsia="Times New Roman" w:hAnsi="Times New Roman"/>
          <w:sz w:val="18"/>
          <w:szCs w:val="18"/>
          <w:color w:val="auto"/>
        </w:rPr>
      </w:pPr>
    </w:p>
    <w:p>
      <w:pPr>
        <w:ind w:left="900" w:right="14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(ii) as may be required, as a special resolution, or within the Company’s articles of association, to empower the directors of the Company pursuant to section 570 of the Companies Act to allot such Shares, and grant such rights (as applicable), free of the restrictions in section 561 of the Companies Act, and such resolutions and authorities remaining in full force and effect and not having expired, been rescinded or amended;</w:t>
      </w:r>
    </w:p>
    <w:p>
      <w:pPr>
        <w:spacing w:after="0" w:line="74" w:lineRule="exact"/>
        <w:rPr>
          <w:rFonts w:ascii="Times New Roman" w:cs="Times New Roman" w:eastAsia="Times New Roman" w:hAnsi="Times New Roman"/>
          <w:sz w:val="18"/>
          <w:szCs w:val="18"/>
          <w:color w:val="auto"/>
        </w:rPr>
      </w:pPr>
    </w:p>
    <w:p>
      <w:pPr>
        <w:ind w:left="900" w:right="280" w:hanging="446"/>
        <w:spacing w:after="0" w:line="282" w:lineRule="auto"/>
        <w:tabs>
          <w:tab w:leader="none" w:pos="9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Resolutions being validly passed and the delegation of authorities thereby to the Equity Plan Committee having been validly effected (among other things, in accordance with Article 12.6 of the TechnipFMC Plan);</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Plan Committee having validly granted the awards in respect of the Shares;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266" w:right="2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 February 2017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20800" cy="1028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20800" cy="10287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900" w:right="100" w:hanging="446"/>
        <w:spacing w:after="0" w:line="258" w:lineRule="auto"/>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in full of payment for such Shares in an amount of “cash consideration” (as defined in section 583(3) of the Companies Act) of not less than the aggregate nominal value for such Shares, assuming in each case that the individual grants or awards under the relevant Equity Plan are duly authorised by all necessary corporate action (as described in (d) above) and duly granted or awarded and exercised in accordance with the requirements of law, the Company’s articles of association and the relevant Equity Plan (and the agreements and awards duly adopted thereunder and in accordance therewith); and</w:t>
      </w:r>
    </w:p>
    <w:p>
      <w:pPr>
        <w:spacing w:after="0" w:line="8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entries having been made in relation to the allotment and issue of the Shares in the books and registers of the Company,</w:t>
      </w:r>
    </w:p>
    <w:p>
      <w:pPr>
        <w:spacing w:after="0" w:line="117" w:lineRule="exact"/>
        <w:rPr>
          <w:sz w:val="20"/>
          <w:szCs w:val="20"/>
          <w:color w:val="auto"/>
        </w:rPr>
      </w:pPr>
    </w:p>
    <w:p>
      <w:pPr>
        <w:ind w:left="460" w:right="20"/>
        <w:spacing w:after="0" w:line="261" w:lineRule="auto"/>
        <w:rPr>
          <w:sz w:val="20"/>
          <w:szCs w:val="20"/>
          <w:color w:val="auto"/>
        </w:rPr>
      </w:pPr>
      <w:r>
        <w:rPr>
          <w:rFonts w:ascii="Times New Roman" w:cs="Times New Roman" w:eastAsia="Times New Roman" w:hAnsi="Times New Roman"/>
          <w:sz w:val="18"/>
          <w:szCs w:val="18"/>
          <w:color w:val="auto"/>
        </w:rPr>
        <w:t>it is our opinion that the Shares, if and when allotted and issued, registered in the name of the recipient in the register of members of the Company and delivered in accordance with the terms of the Business Combination Agreement and the terms and conditions referred to above and/or in the Equity Plans, and as described in the Registration Statements, will be duly and validly authorised and issued, fully paid or credited as fully paid (subject to the receipt of valid consideration by the Company for the issue thereof) and will not be subject to any call for payment of further capital.</w:t>
      </w:r>
    </w:p>
    <w:p>
      <w:pPr>
        <w:spacing w:after="0" w:line="325" w:lineRule="exact"/>
        <w:rPr>
          <w:sz w:val="20"/>
          <w:szCs w:val="20"/>
          <w:color w:val="auto"/>
        </w:rPr>
      </w:pPr>
    </w:p>
    <w:p>
      <w:pPr>
        <w:ind w:left="460" w:hanging="452"/>
        <w:spacing w:after="0"/>
        <w:tabs>
          <w:tab w:leader="none" w:pos="4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EXTENT OF OPINIONS</w:t>
      </w:r>
    </w:p>
    <w:p>
      <w:pPr>
        <w:spacing w:after="0" w:line="121" w:lineRule="exact"/>
        <w:rPr>
          <w:rFonts w:ascii="Times New Roman" w:cs="Times New Roman" w:eastAsia="Times New Roman" w:hAnsi="Times New Roman"/>
          <w:sz w:val="18"/>
          <w:szCs w:val="18"/>
          <w:b w:val="1"/>
          <w:bCs w:val="1"/>
          <w:color w:val="auto"/>
        </w:rPr>
      </w:pPr>
    </w:p>
    <w:p>
      <w:pPr>
        <w:ind w:left="460" w:right="22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We express no opinion as to any agreement, instrument or other document other than as specified in this letter or as to any liability to tax which may arise or be suffered as a result of or in connection with the transactions contemplated by the Business Combination Agreement or the Equity Plans.</w:t>
      </w:r>
    </w:p>
    <w:p>
      <w:pPr>
        <w:spacing w:after="0" w:line="30" w:lineRule="exact"/>
        <w:rPr>
          <w:rFonts w:ascii="Times New Roman" w:cs="Times New Roman" w:eastAsia="Times New Roman" w:hAnsi="Times New Roman"/>
          <w:sz w:val="18"/>
          <w:szCs w:val="18"/>
          <w:b w:val="1"/>
          <w:bCs w:val="1"/>
          <w:color w:val="auto"/>
        </w:rPr>
      </w:pPr>
    </w:p>
    <w:p>
      <w:pPr>
        <w:ind w:left="4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AND RELIANCE</w:t>
      </w:r>
    </w:p>
    <w:p>
      <w:pPr>
        <w:spacing w:after="0" w:line="121" w:lineRule="exact"/>
        <w:rPr>
          <w:rFonts w:ascii="Times New Roman" w:cs="Times New Roman" w:eastAsia="Times New Roman" w:hAnsi="Times New Roman"/>
          <w:sz w:val="18"/>
          <w:szCs w:val="18"/>
          <w:b w:val="1"/>
          <w:bCs w:val="1"/>
          <w:color w:val="auto"/>
        </w:rPr>
      </w:pPr>
    </w:p>
    <w:p>
      <w:pPr>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is addressed to you solely for your benefit in connection with the Registration Statements. We consent to the filing of this letter as an exhibit to the Registration Statements. In giving such consent, we do not thereby admit that we are in the category of persons whose consent is required under Section 7 of the Securities Act or the rules and regulations thereunder.</w:t>
      </w:r>
    </w:p>
    <w:p>
      <w:pPr>
        <w:spacing w:after="0" w:line="68" w:lineRule="exact"/>
        <w:rPr>
          <w:rFonts w:ascii="Times New Roman" w:cs="Times New Roman" w:eastAsia="Times New Roman" w:hAnsi="Times New Roman"/>
          <w:sz w:val="18"/>
          <w:szCs w:val="18"/>
          <w:b w:val="1"/>
          <w:bCs w:val="1"/>
          <w:color w:val="auto"/>
        </w:rPr>
      </w:pPr>
    </w:p>
    <w:p>
      <w:pPr>
        <w:ind w:left="4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letter may not be relied upon by you for any other purpose, and, other than as set out above, may not be furnished to, or assigned to or relied upon by any other person, firm or entity for any purpose without our prior written consent, which may be granted or withheld in our discretion.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LATHAM &amp; WATKINS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60"/>
          </w:cols>
          <w:pgMar w:left="240" w:top="266" w:right="2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 February 2017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20800" cy="1028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20800" cy="10287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in this letter have been given on the basis of the following assumptions:</w:t>
      </w:r>
    </w:p>
    <w:p>
      <w:pPr>
        <w:spacing w:after="0" w:line="131" w:lineRule="exact"/>
        <w:rPr>
          <w:sz w:val="20"/>
          <w:szCs w:val="20"/>
          <w:color w:val="auto"/>
        </w:rPr>
      </w:pPr>
    </w:p>
    <w:p>
      <w:pPr>
        <w:ind w:left="460" w:right="220" w:hanging="452"/>
        <w:spacing w:after="0" w:line="282"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stamps and seals on all documents, the authenticity and completeness of all documents submitted to us as originals, and the conformity to original documents of all documents submitted to us as copies;</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where a document has been examined by us in draft or specimen form, it will be or has been duly executed in the form of that draft or specimen;</w:t>
      </w:r>
    </w:p>
    <w:p>
      <w:pPr>
        <w:spacing w:after="0" w:line="130" w:lineRule="exact"/>
        <w:rPr>
          <w:rFonts w:ascii="Times New Roman" w:cs="Times New Roman" w:eastAsia="Times New Roman" w:hAnsi="Times New Roman"/>
          <w:sz w:val="18"/>
          <w:szCs w:val="18"/>
          <w:color w:val="auto"/>
        </w:rPr>
      </w:pPr>
    </w:p>
    <w:p>
      <w:pPr>
        <w:ind w:left="460" w:right="240" w:hanging="452"/>
        <w:spacing w:after="0" w:line="266"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articles of association of the Company referred to in paragraph 1.3 (k) of this letter remain in full force and effect, and no alteration has been made or will be made to such articles of association, in each case, prior to any date on which the Shares are allotted, issued or rights are granted to subscribe for Shares (each such date being an “</w:t>
      </w:r>
      <w:r>
        <w:rPr>
          <w:rFonts w:ascii="Times New Roman" w:cs="Times New Roman" w:eastAsia="Times New Roman" w:hAnsi="Times New Roman"/>
          <w:sz w:val="18"/>
          <w:szCs w:val="18"/>
          <w:b w:val="1"/>
          <w:bCs w:val="1"/>
          <w:color w:val="auto"/>
        </w:rPr>
        <w:t>Allotment Date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460" w:right="120" w:hanging="452"/>
        <w:spacing w:after="0" w:line="282"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TechnipFMC Plan remains in full force and effect and no alteration has been made or will be made to TechnipFMC Plan prior to an Allotment Date;</w:t>
      </w:r>
    </w:p>
    <w:p>
      <w:pPr>
        <w:spacing w:after="0" w:line="67" w:lineRule="exact"/>
        <w:rPr>
          <w:rFonts w:ascii="Times New Roman" w:cs="Times New Roman" w:eastAsia="Times New Roman" w:hAnsi="Times New Roman"/>
          <w:sz w:val="18"/>
          <w:szCs w:val="18"/>
          <w:color w:val="auto"/>
        </w:rPr>
      </w:pPr>
    </w:p>
    <w:p>
      <w:pPr>
        <w:jc w:val="both"/>
        <w:ind w:left="460" w:right="60" w:hanging="452"/>
        <w:spacing w:after="0" w:line="266"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documents, forms and notices which should have been delivered to the Companies Registration Office in respect of the Company have been so delivered, that the results of the Searches are complete and accurate, that the position has not changed since the times at which the Searches were made and that the results of the Searches will remain complete and accurate as at each Allotment Date;</w:t>
      </w:r>
    </w:p>
    <w:p>
      <w:pPr>
        <w:spacing w:after="0" w:line="81" w:lineRule="exact"/>
        <w:rPr>
          <w:rFonts w:ascii="Times New Roman" w:cs="Times New Roman" w:eastAsia="Times New Roman" w:hAnsi="Times New Roman"/>
          <w:sz w:val="18"/>
          <w:szCs w:val="18"/>
          <w:color w:val="auto"/>
        </w:rPr>
      </w:pPr>
    </w:p>
    <w:p>
      <w:pPr>
        <w:ind w:left="460" w:hanging="452"/>
        <w:spacing w:after="0" w:line="253"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 the resolutions described in the written resolutions of the board of directors of the Company and the resolutions of the Compensation Committee and the Equity Plan Committee provided to us in connection with the giving of this opinion or otherwise contemplated in connection with the matters referred to herein were and/or will be duly passed as written resolutions of the board of directors of the Company or the Compensation Committee or Equity Plan Committee, as applicable, all constitutional, statutory and other formalities were and/or will be observed and such resolutions have not been, and will not be, revoked or varied and remain in full force and effect and will remain so at each Allotment Date; and (ii) the proceedings and resolutions described in the minutes of the meetings of the board of directors, Compensation Committee and Equity Plan Committee referred to at paragraphs 2(c) and 2(d) of this letter or otherwise contemplated in connection with the matters referred to herein were and/or will be duly conducted as so described, and that each of the meetings referred to therein was and/or will be duly constituted, convened and conducted and all constitutional, statutory and other formalities were and/or will be duly observed (including, if applicable, those relating to the declaration of directors’ interests or the power of interested directors to vote), a quorum was and/or will be present throughout, the requisite majority of directors voted and/or will vote in favour of approving the resolutions and the resolutions passed thereat were and/or will be duly adopted, have not been and will not be revoked or varied and remain in full force and effect and will remain so as at each Allotment Date;</w:t>
      </w:r>
    </w:p>
    <w:p>
      <w:pPr>
        <w:spacing w:after="0" w:line="96" w:lineRule="exact"/>
        <w:rPr>
          <w:rFonts w:ascii="Times New Roman" w:cs="Times New Roman" w:eastAsia="Times New Roman" w:hAnsi="Times New Roman"/>
          <w:sz w:val="18"/>
          <w:szCs w:val="18"/>
          <w:color w:val="auto"/>
        </w:rPr>
      </w:pPr>
    </w:p>
    <w:p>
      <w:pPr>
        <w:ind w:left="460" w:right="100" w:hanging="452"/>
        <w:spacing w:after="0" w:line="256"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resolutions of the shareholders of the Company provided to us in connection with the giving of this opinion and of the shareholders of the Company as referred to at paragraph 2 (b) of this letter or otherwise contemplated in connection with the matters referred to herein were and/or will be duly passed as written resolutions of the Company or at a general meeting of the Company, all constitutional, statutory and other formalities were and/or will be observed in relation to such written resolutions and/or general meeting and such resolutions have not been and/or will not be revoked or varied and will not be revoked or varied prior to each Allotment Date and remain in full force and effect and will remain in full force and effect as at each Allotment Date;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66" w:right="2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27 February 2017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20800" cy="1028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20800" cy="10287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460" w:right="20" w:hanging="452"/>
        <w:spacing w:after="0" w:line="261"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at the time of each allotment and issue of any Shares the Company shall have received in full “cash consideration” (as such term is defined in section 583(3) of the Companies Act) equal to the subscription price payable for such Shares and shall have entered the holder or holders thereof in the register of members of the Company showing that all such Shares shall have been fully paid up as to their nominal value and any premium thereon as at each Allotment Date;</w:t>
      </w:r>
    </w:p>
    <w:p>
      <w:pPr>
        <w:spacing w:after="0" w:line="85" w:lineRule="exact"/>
        <w:rPr>
          <w:rFonts w:ascii="Times New Roman" w:cs="Times New Roman" w:eastAsia="Times New Roman" w:hAnsi="Times New Roman"/>
          <w:sz w:val="18"/>
          <w:szCs w:val="18"/>
          <w:color w:val="auto"/>
        </w:rPr>
      </w:pPr>
    </w:p>
    <w:p>
      <w:pPr>
        <w:ind w:left="460" w:right="80" w:hanging="452"/>
        <w:spacing w:after="0" w:line="261"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allotment and issue of any Shares by the Company pursuant to the Equity Plans, that the recipient will have become entitled to such Shares under the terms of the relevant Equity Plan such Shares will, where applicable, be fully vested each in accordance with the terms of the relevant Equity Plan and such recipient has or will have complied with all other requirements of the relevant Equity Plan in connection with the allotment and issue of such Shares;</w:t>
      </w:r>
    </w:p>
    <w:p>
      <w:pPr>
        <w:spacing w:after="0" w:line="85"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awards have been made under the terms of the relevant Equity Plan, that the terms of all awards have not materially deviated from the terms set out in the relevant Equity Plan and that any Shares will be allotted and issued in accordance with the terms set out in the relevant Equity Plan and in accordance with the Company’s articles of association;</w:t>
      </w:r>
    </w:p>
    <w:p>
      <w:pPr>
        <w:spacing w:after="0" w:line="8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Equity Plans have been validly adopted and no alteration has been or shall be made to the Equity Plans since the date of adoption;</w:t>
      </w:r>
    </w:p>
    <w:p>
      <w:pPr>
        <w:spacing w:after="0" w:line="130" w:lineRule="exact"/>
        <w:rPr>
          <w:rFonts w:ascii="Times New Roman" w:cs="Times New Roman" w:eastAsia="Times New Roman" w:hAnsi="Times New Roman"/>
          <w:sz w:val="18"/>
          <w:szCs w:val="18"/>
          <w:color w:val="auto"/>
        </w:rPr>
      </w:pPr>
    </w:p>
    <w:p>
      <w:pPr>
        <w:ind w:left="460" w:right="160" w:hanging="452"/>
        <w:spacing w:after="0" w:line="258"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immediately prior to each Allotment Date, the directors of the Company had or shall have sufficient authority and powers conferred upon them to allot and issue such Shares and grant such rights (as applicable) under section 551 of the Companies Act and under section 570 of the Companies Act as if section 561 of the Companies Act did not apply to such allotment and issue or grant, and the directors of the Company shall not allot or issue (or purport to allot or issue) Shares and shall not grant rights (or purport to grant rights) to acquire Shares in excess of such powers or in breach of any other limitation on their power to allot and issue Shares or grant rights to acquire Shares;</w:t>
      </w:r>
    </w:p>
    <w:p>
      <w:pPr>
        <w:spacing w:after="0" w:line="89" w:lineRule="exact"/>
        <w:rPr>
          <w:rFonts w:ascii="Times New Roman" w:cs="Times New Roman" w:eastAsia="Times New Roman" w:hAnsi="Times New Roman"/>
          <w:sz w:val="18"/>
          <w:szCs w:val="18"/>
          <w:color w:val="auto"/>
        </w:rPr>
      </w:pPr>
    </w:p>
    <w:p>
      <w:pPr>
        <w:ind w:left="460" w:hanging="452"/>
        <w:spacing w:after="0" w:line="266"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relation to the allotment and issuance of Shares pursuant to the Equity Plans or otherwise to an employee benefit trust, that such Shares will be allotted and issued in accordance with the terms of the relevant Equity Plan, the Company’s articles of association and the requirements of all applicable laws;</w:t>
      </w:r>
    </w:p>
    <w:p>
      <w:pPr>
        <w:spacing w:after="0" w:line="81" w:lineRule="exact"/>
        <w:rPr>
          <w:rFonts w:ascii="Times New Roman" w:cs="Times New Roman" w:eastAsia="Times New Roman" w:hAnsi="Times New Roman"/>
          <w:sz w:val="18"/>
          <w:szCs w:val="18"/>
          <w:color w:val="auto"/>
        </w:rPr>
      </w:pPr>
    </w:p>
    <w:p>
      <w:pPr>
        <w:ind w:left="460" w:right="60" w:hanging="452"/>
        <w:spacing w:after="0" w:line="282"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Shares shall be allotted or issued, or are or shall be committed to be allotted or issued, at a discount to their nominal value (whether in dollars or equivalent in any other currency);</w:t>
      </w:r>
    </w:p>
    <w:p>
      <w:pPr>
        <w:spacing w:after="0" w:line="67" w:lineRule="exact"/>
        <w:rPr>
          <w:rFonts w:ascii="Times New Roman" w:cs="Times New Roman" w:eastAsia="Times New Roman" w:hAnsi="Times New Roman"/>
          <w:sz w:val="18"/>
          <w:szCs w:val="18"/>
          <w:color w:val="auto"/>
        </w:rPr>
      </w:pPr>
    </w:p>
    <w:p>
      <w:pPr>
        <w:ind w:left="460" w:right="280" w:hanging="452"/>
        <w:spacing w:after="0" w:line="261"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Shares or rights to subscribe for Shares have been or shall be offered to the public in the United Kingdom in breach of the Financial Services and Markets Act 2000 (“</w:t>
      </w:r>
      <w:r>
        <w:rPr>
          <w:rFonts w:ascii="Times New Roman" w:cs="Times New Roman" w:eastAsia="Times New Roman" w:hAnsi="Times New Roman"/>
          <w:sz w:val="18"/>
          <w:szCs w:val="18"/>
          <w:b w:val="1"/>
          <w:bCs w:val="1"/>
          <w:color w:val="auto"/>
        </w:rPr>
        <w:t>FSMA</w:t>
      </w:r>
      <w:r>
        <w:rPr>
          <w:rFonts w:ascii="Times New Roman" w:cs="Times New Roman" w:eastAsia="Times New Roman" w:hAnsi="Times New Roman"/>
          <w:sz w:val="18"/>
          <w:szCs w:val="18"/>
          <w:color w:val="auto"/>
        </w:rPr>
        <w:t>”) or of any other United Kingdom laws or regulations concerning offers of securities to the public, and no communication has been or shall be made in relation to the Shares in breach of section 21 of the FSMA or any other United Kingdom laws or regulations relating to offers or invitations to subscribe for, or to acquire rights to subscribe for or otherwise acquire, shares or other securities;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66"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 February 2017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20800" cy="1028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20800" cy="10287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460" w:right="520" w:hanging="452"/>
        <w:spacing w:after="0" w:line="282" w:lineRule="auto"/>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issuing and allotting and granting rights to acquire Shares and administering the Equity Plans, the Company is not carrying on a regulated activity for the purposes of section 19 of FSMA;</w:t>
      </w:r>
    </w:p>
    <w:p>
      <w:pPr>
        <w:spacing w:after="0" w:line="67" w:lineRule="exact"/>
        <w:rPr>
          <w:rFonts w:ascii="Times New Roman" w:cs="Times New Roman" w:eastAsia="Times New Roman" w:hAnsi="Times New Roman"/>
          <w:sz w:val="18"/>
          <w:szCs w:val="18"/>
          <w:color w:val="auto"/>
        </w:rPr>
      </w:pPr>
    </w:p>
    <w:p>
      <w:pPr>
        <w:ind w:left="460" w:hanging="452"/>
        <w:spacing w:after="0" w:line="266" w:lineRule="auto"/>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complied and will comply with all applicable anti-terrorism, anti-money laundering, sanctions and human rights laws and regulations and that each allotment and issue of Shares and grant of rights to acquire Shares pursuant to the Equity Plans will be consistent with all such laws and regulations;</w:t>
      </w:r>
    </w:p>
    <w:p>
      <w:pPr>
        <w:spacing w:after="0" w:line="8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Equity Plans have the same meaning and effect as if they were governed by English law;</w:t>
      </w:r>
    </w:p>
    <w:p>
      <w:pPr>
        <w:spacing w:after="0" w:line="130" w:lineRule="exact"/>
        <w:rPr>
          <w:rFonts w:ascii="Times New Roman" w:cs="Times New Roman" w:eastAsia="Times New Roman" w:hAnsi="Times New Roman"/>
          <w:sz w:val="18"/>
          <w:szCs w:val="18"/>
          <w:color w:val="auto"/>
        </w:rPr>
      </w:pPr>
    </w:p>
    <w:p>
      <w:pPr>
        <w:ind w:left="460" w:right="80" w:hanging="452"/>
        <w:spacing w:after="0" w:line="261" w:lineRule="auto"/>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Business Combination Agreement, the Equity Plans and all obligations thereunder have been entered into and the Shares will be allotted and issued in good faith and on bona fide commercial terms and on arms’ length terms and for the purpose of carrying on the business of the Company and that there are reasonable grounds for believing that the entry into of the Business Combination Agreement and the Equity Plans and the allotment and issue of the Shares will promote the success of the Company for the benefit of its members as a whole; and</w:t>
      </w:r>
    </w:p>
    <w:p>
      <w:pPr>
        <w:spacing w:after="0" w:line="85" w:lineRule="exact"/>
        <w:rPr>
          <w:rFonts w:ascii="Times New Roman" w:cs="Times New Roman" w:eastAsia="Times New Roman" w:hAnsi="Times New Roman"/>
          <w:sz w:val="18"/>
          <w:szCs w:val="18"/>
          <w:color w:val="auto"/>
        </w:rPr>
      </w:pPr>
    </w:p>
    <w:p>
      <w:pPr>
        <w:ind w:left="460" w:hanging="452"/>
        <w:spacing w:after="0" w:line="255" w:lineRule="auto"/>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has not taken any corporate or other action nor have any steps been taken or legal proceedings been started against the Company for the liquidation, winding up, dissolution, reorganisation or bankruptcy of, or for the appointment of a liquidator, receiver, trustee, administrator, administrative receiver or similar officer of, 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 (although the Searches gave no indication that any winding-up, dissolution or administration order or appointment of a receiver, administrator, administrative receiver or similar officer has been made with respect to the Company).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66" w:right="2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27 February 2017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20800" cy="1028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20800" cy="10287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RESERVATIONS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in this letter are subject to the following reservations:</w:t>
      </w:r>
    </w:p>
    <w:p>
      <w:pPr>
        <w:spacing w:after="0" w:line="131" w:lineRule="exact"/>
        <w:rPr>
          <w:sz w:val="20"/>
          <w:szCs w:val="20"/>
          <w:color w:val="auto"/>
        </w:rPr>
      </w:pPr>
    </w:p>
    <w:p>
      <w:pPr>
        <w:ind w:left="460" w:right="260" w:hanging="452"/>
        <w:spacing w:after="0" w:line="266" w:lineRule="auto"/>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Searches are not capable of revealing conclusively whether or not a winding-up or administration petition or order has been presented or made, a receiver appointed, a company voluntary arrangement proposed or approved or any other insolvency proceeding commenced. We have not made enquiries of any District Registry or County Court;</w:t>
      </w:r>
    </w:p>
    <w:p>
      <w:pPr>
        <w:spacing w:after="0" w:line="81" w:lineRule="exact"/>
        <w:rPr>
          <w:rFonts w:ascii="Times New Roman" w:cs="Times New Roman" w:eastAsia="Times New Roman" w:hAnsi="Times New Roman"/>
          <w:sz w:val="18"/>
          <w:szCs w:val="18"/>
          <w:color w:val="auto"/>
        </w:rPr>
      </w:pPr>
    </w:p>
    <w:p>
      <w:pPr>
        <w:ind w:left="460" w:right="140" w:hanging="452"/>
        <w:spacing w:after="0" w:line="261" w:lineRule="auto"/>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set out in this letter are subject to (i) any limitations arising from applicable laws relating to insolvency, bankruptcy, administration, reorganisation, liquidation, moratoria, schemes or analogous circumstances; and (ii) an English court exercising its discretion under section 426 of the Insolvency Act 1986 (</w:t>
      </w:r>
      <w:r>
        <w:rPr>
          <w:rFonts w:ascii="Times New Roman" w:cs="Times New Roman" w:eastAsia="Times New Roman" w:hAnsi="Times New Roman"/>
          <w:sz w:val="18"/>
          <w:szCs w:val="18"/>
          <w:i w:val="1"/>
          <w:iCs w:val="1"/>
          <w:color w:val="auto"/>
        </w:rPr>
        <w:t>co-operation between courts exercising jurisdiction in relation to insolvency</w:t>
      </w:r>
      <w:r>
        <w:rPr>
          <w:rFonts w:ascii="Times New Roman" w:cs="Times New Roman" w:eastAsia="Times New Roman" w:hAnsi="Times New Roman"/>
          <w:sz w:val="18"/>
          <w:szCs w:val="18"/>
          <w:color w:val="auto"/>
        </w:rPr>
        <w:t>) to assist the courts having the corresponding jurisdiction in any part of the United Kingdom or any relevant country or territory;</w:t>
      </w:r>
    </w:p>
    <w:p>
      <w:pPr>
        <w:spacing w:after="0" w:line="8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matters of fact;</w:t>
      </w:r>
    </w:p>
    <w:p>
      <w:pPr>
        <w:spacing w:after="0" w:line="130" w:lineRule="exact"/>
        <w:rPr>
          <w:rFonts w:ascii="Times New Roman" w:cs="Times New Roman" w:eastAsia="Times New Roman" w:hAnsi="Times New Roman"/>
          <w:sz w:val="18"/>
          <w:szCs w:val="18"/>
          <w:color w:val="auto"/>
        </w:rPr>
      </w:pPr>
    </w:p>
    <w:p>
      <w:pPr>
        <w:ind w:left="460" w:right="640" w:hanging="452"/>
        <w:spacing w:after="0" w:line="266" w:lineRule="auto"/>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on the compliance of the Equity Plans, or the compliance of any award made under the Equity Plans, with the rules or regulations of the NASDAQ Stock Market LLC, the rules of Euronext Paris or the rules or regulations of any other securities exchange that are applicable to the Company;</w:t>
      </w:r>
    </w:p>
    <w:p>
      <w:pPr>
        <w:spacing w:after="0" w:line="81" w:lineRule="exact"/>
        <w:rPr>
          <w:rFonts w:ascii="Times New Roman" w:cs="Times New Roman" w:eastAsia="Times New Roman" w:hAnsi="Times New Roman"/>
          <w:sz w:val="18"/>
          <w:szCs w:val="18"/>
          <w:color w:val="auto"/>
        </w:rPr>
      </w:pPr>
    </w:p>
    <w:p>
      <w:pPr>
        <w:ind w:left="460" w:hanging="452"/>
        <w:spacing w:after="0" w:line="256" w:lineRule="auto"/>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in relation to the legality, enforceability or validity of the Equity Plans or any award agreement entered into pursuant to such Equity Plans. In particular, but without prejudice to the generality of the foregoing, we have assumed that the Shares to be allotted under the Equity Plans or any such award agreement will be paid up in full (as to their nominal value and any premium) in cash (within the meaning of section 583(1) of the Companies Act) and we express no opinion as to whether any consideration other than “cash consideration” (as such term is defined in section 583(3) of the Companies Act) which might be paid, or purport to be paid, for the Shares would result in such Shares being validly issued, fully paid and not subject to any call for payment of further capital;</w:t>
      </w:r>
    </w:p>
    <w:p>
      <w:pPr>
        <w:spacing w:after="0" w:line="93" w:lineRule="exact"/>
        <w:rPr>
          <w:rFonts w:ascii="Times New Roman" w:cs="Times New Roman" w:eastAsia="Times New Roman" w:hAnsi="Times New Roman"/>
          <w:sz w:val="18"/>
          <w:szCs w:val="18"/>
          <w:color w:val="auto"/>
        </w:rPr>
      </w:pPr>
    </w:p>
    <w:p>
      <w:pPr>
        <w:ind w:left="460" w:right="260" w:hanging="452"/>
        <w:spacing w:after="0" w:line="266" w:lineRule="auto"/>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award of Restricted Stock Units under an Equity Plan does not constitute the award of a cash bonus, so as to create a liability for a liquidated sum, any Shares purported to be allotted and issued pursuant to any such award will not have been validly allotted and issued for cash in accordance with the requirements of the Companies Act and may not therefore be fully paid and not subject to any call for payment of further capital; and</w:t>
      </w:r>
    </w:p>
    <w:p>
      <w:pPr>
        <w:spacing w:after="0" w:line="8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should be understood that we have not been responsible for investigating or verifying the accuracy of the facts, including statements of foreign law, or the reasonableness of any statements of opinion, contained in the Registration Statements, or that no material facts have been omitted from it.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66" w:right="25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TechnipFMC plc dated February 27, 2017 pertaining to FMC Technologies, Inc. Savings and Investment Plan, FMC Puerto Rico Savings and Investment Plan, FMC Technologies, Inc. International Savings and Investment Plan and FMC Technologies, Inc. Non-Qualified Savings and Investment Plan, of our reports (1) dated August 9, 2016 relating to the consolidated financial statements of Technip and its subsidiaries included in TechnipFMC plc’s S-4/A filed with the Commission on October 25, 2016 and (2) dated February 24, 2017 relating to the consolidated financial statements of Technip and its subsidiaries included in TechnipFMC plc’s Form 8-K/A filed with the Commission on February 24, 2017.</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Neuilly-sur-Seine and Paris-La Défense, February 27, 2017</w:t>
      </w:r>
    </w:p>
    <w:p>
      <w:pPr>
        <w:spacing w:after="0" w:line="252" w:lineRule="exact"/>
        <w:rPr>
          <w:sz w:val="20"/>
          <w:szCs w:val="20"/>
          <w:color w:val="auto"/>
        </w:rPr>
      </w:pPr>
    </w:p>
    <w:p>
      <w:pPr>
        <w:ind w:left="1680"/>
        <w:spacing w:after="0"/>
        <w:tabs>
          <w:tab w:leader="none" w:pos="7540" w:val="left"/>
        </w:tabs>
        <w:rPr>
          <w:sz w:val="20"/>
          <w:szCs w:val="20"/>
          <w:color w:val="auto"/>
        </w:rPr>
      </w:pPr>
      <w:r>
        <w:rPr>
          <w:rFonts w:ascii="Times New Roman" w:cs="Times New Roman" w:eastAsia="Times New Roman" w:hAnsi="Times New Roman"/>
          <w:sz w:val="18"/>
          <w:szCs w:val="18"/>
          <w:color w:val="auto"/>
        </w:rPr>
        <w:t>/s/ PricewaterhouseCoopers Audit</w:t>
      </w:r>
      <w:r>
        <w:rPr>
          <w:sz w:val="20"/>
          <w:szCs w:val="20"/>
          <w:color w:val="auto"/>
        </w:rPr>
        <w:tab/>
      </w:r>
      <w:r>
        <w:rPr>
          <w:rFonts w:ascii="Times New Roman" w:cs="Times New Roman" w:eastAsia="Times New Roman" w:hAnsi="Times New Roman"/>
          <w:sz w:val="17"/>
          <w:szCs w:val="17"/>
          <w:color w:val="auto"/>
        </w:rPr>
        <w:t>/s/ ERNST &amp; YOUNG et Autres</w:t>
      </w:r>
    </w:p>
    <w:p>
      <w:pPr>
        <w:sectPr>
          <w:pgSz w:w="11900" w:h="16838" w:orient="portrait"/>
          <w:cols w:equalWidth="0" w:num="1">
            <w:col w:w="11420"/>
          </w:cols>
          <w:pgMar w:left="240" w:top="117" w:right="2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TechnipFMC plc: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use of our reports (1) dated February 22, 2017, with respect to the consolidated balance sheets of FMC Technologies, Inc. as of</w:t>
      </w:r>
    </w:p>
    <w:p>
      <w:pPr>
        <w:spacing w:after="0" w:line="2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December 31, 2016 and 2015, and the related consolidated statements of income, comprehensive income, cash flows, and changes in stockholders’ equity for each of the years in the three-year period ended December 31, 2016, (2) dated January 13, 2017, with respect to the consolidated balance sheets of TechnipFMC plc as of December 31, 2016 and 2015, and the related consolidated statements of comprehensive income, changes in stockholder’s equity, and cash flows for the year ended December 31, 2016 and the period December 9, 2015 to December 31, 2015, and (3) dated February 24, 2016, with respect to the consolidated balance sheets of FMC Technologies, Inc. as of December 31, 2015 and 2014, and the related consolidated statements of income, comprehensive income, cash flows and changes in stockholders’ equity for each of the years in the three-year period ended December 31, 2015, and the related financial statement schedule II, and the effectiveness of internal control over financial reporting as of December 31, 2015, incorporated herein by reference.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(signed)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2017</w:t>
      </w:r>
    </w:p>
    <w:p>
      <w:pPr>
        <w:sectPr>
          <w:pgSz w:w="11900" w:h="16838" w:orient="portrait"/>
          <w:cols w:equalWidth="0" w:num="1">
            <w:col w:w="11420"/>
          </w:cols>
          <w:pgMar w:left="240" w:top="117"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TechnipFMC plc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The undersigned whose signature appears below constitutes and appoints Maryann Mannen and Dianne Ralston, and each of them (with full power to each of them to act alone), as the undersigned’s true and lawful attorneys-in-fact and agents, with full power of substitution, for the undersigned and in the undersigned’s name, place and stead, in any and all capacities, to sign and affix the undersigned’s name to TechnipFMC plc’s Registration Statements on Form S-8 and any and all amendments, including post-effective amendments thereto, in connection with the registration under the Securities Act of 1933, as amended, of ordinary shares of TechnipFMC plc pursuant to the FMC Technologies, Inc. Non-Qualified Savings and Investment Plan, FMC Technologies, Inc. Incentive Compensation and Stock Plan, TechnipFMC plc Incentive Award Plan, 2010 Technip Incentive and Reward Plan, 2011 Technip Incentive and Reward Plan, 2012 Technip Incentive and Reward Plan, 2013 Technip Incentive and Reward Plan, 2014 Technip Incentive and Reward Plan, 2015 Technip Incentive and Reward Plan, 2016 Technip Incentive and Reward Plan, Technip Capital 2015 Plan, Technip Capital 2012 Plan, FMC Technologies, Inc. Savings and Investment Plan, FMC Puerto Rico Savings and Investment Plan and FMC Technologies, Inc. International Savings and Investment Plan, and to file the same, with all exhibits thereto and other documents in connection therewith, with the Securities and Exchange Commission.</w:t>
      </w:r>
    </w:p>
    <w:p>
      <w:pPr>
        <w:spacing w:after="0" w:line="186"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undersigned also grants to said attorneys-in-fact and agents, and each of them, full power and authority to do and perform each and every act and thing requisite and necessary to be done in furtherance thereof, hereby ratifying and confirming all that such attorneys-in-fact and agents, or their substitute or substitutes, may lawfully do or cause to be done by virtue hereof.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17"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executed this Power of Attorney as of this 27th day of February, 2017.</w:t>
      </w:r>
    </w:p>
    <w:p>
      <w:pPr>
        <w:spacing w:after="0" w:line="25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8987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Douglas J. Pferdehirt</w:t>
      </w:r>
    </w:p>
    <w:p>
      <w:pPr>
        <w:spacing w:after="0" w:line="27"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tab/>
        <w:t>Director and Chief Executive Officer</w:t>
      </w:r>
    </w:p>
    <w:p>
      <w:pPr>
        <w:spacing w:after="0" w:line="20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Thierry Pilenko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Thierry Pilenko</w:t>
      </w:r>
    </w:p>
    <w:p>
      <w:pPr>
        <w:spacing w:after="0" w:line="27"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tab/>
        <w:t>Director and Executive Chairman</w:t>
      </w:r>
    </w:p>
    <w:p>
      <w:pPr>
        <w:spacing w:after="0" w:line="20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Arnaud Caudoux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898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Arnaud Caudoux</w:t>
      </w:r>
    </w:p>
    <w:p>
      <w:pPr>
        <w:spacing w:after="0" w:line="27"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Pascal Colombani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898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Pascal Colombani</w:t>
      </w:r>
    </w:p>
    <w:p>
      <w:pPr>
        <w:spacing w:after="0" w:line="27"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Marie-Ange Debon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8987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Marie-Ange Debon</w:t>
      </w:r>
    </w:p>
    <w:p>
      <w:pPr>
        <w:spacing w:after="0" w:line="27"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Eleazar de Carvalho Filho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89877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Eleazar de Carvalho Filho</w:t>
      </w:r>
    </w:p>
    <w:p>
      <w:pPr>
        <w:spacing w:after="0" w:line="27"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Claire S.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8987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Claire S. Farley</w:t>
      </w:r>
    </w:p>
    <w:p>
      <w:pPr>
        <w:spacing w:after="0" w:line="27"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Didier Houssin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898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Didier Houssin</w:t>
      </w:r>
    </w:p>
    <w:p>
      <w:pPr>
        <w:spacing w:after="0" w:line="27"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Peter Mellbye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8987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Peter Mellbye</w:t>
      </w:r>
    </w:p>
    <w:p>
      <w:pPr>
        <w:spacing w:after="0" w:line="27"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John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8987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  John O’Leary</w:t>
      </w:r>
    </w:p>
    <w:p>
      <w:pPr>
        <w:spacing w:after="0" w:line="27"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tab/>
        <w:t>Director</w:t>
      </w:r>
    </w:p>
    <w:p>
      <w:pPr>
        <w:sectPr>
          <w:pgSz w:w="11900" w:h="16838" w:orient="portrait"/>
          <w:cols w:equalWidth="0" w:num="1">
            <w:col w:w="9759"/>
          </w:cols>
          <w:pgMar w:left="700" w:top="270" w:right="1440" w:bottom="1440" w:gutter="0" w:footer="0" w:header="0"/>
        </w:sectPr>
      </w:pPr>
    </w:p>
    <w:bookmarkStart w:id="87" w:name="page88"/>
    <w:bookmarkEnd w:id="87"/>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 Richard A. Pattarozzi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17145</wp:posOffset>
            </wp:positionV>
            <wp:extent cx="28987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Richard A. Pattarozzi</w:t>
      </w:r>
    </w:p>
    <w:p>
      <w:pPr>
        <w:spacing w:after="0" w:line="2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Kay G. Priestly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17145</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Kay G. Priestly</w:t>
      </w:r>
    </w:p>
    <w:p>
      <w:pPr>
        <w:spacing w:after="0" w:line="2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Joseph Rinaldi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17145</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Joseph Rinaldi</w:t>
      </w:r>
    </w:p>
    <w:p>
      <w:pPr>
        <w:spacing w:after="0" w:line="2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 James M. Ringler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17145</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James M. Ringler</w:t>
      </w:r>
    </w:p>
    <w:p>
      <w:pPr>
        <w:spacing w:after="0" w:line="2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Director</w:t>
      </w:r>
    </w:p>
    <w:p>
      <w:pPr>
        <w:sectPr>
          <w:pgSz w:w="11900" w:h="16838" w:orient="portrait"/>
          <w:cols w:equalWidth="0" w:num="1">
            <w:col w:w="9019"/>
          </w:cols>
          <w:pgMar w:left="1440" w:top="486" w:right="1440" w:bottom="1440" w:gutter="0" w:footer="0" w:header="0"/>
        </w:sectPr>
      </w:pPr>
    </w:p>
    <w:bookmarkStart w:id="88" w:name="page89"/>
    <w:bookmarkEnd w:id="88"/>
    <w:p>
      <w:pPr>
        <w:ind w:left="92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174625</wp:posOffset>
            </wp:positionV>
            <wp:extent cx="4888230" cy="68605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888230" cy="6860540"/>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1)"/>
      <w:numFmt w:val="decimal"/>
      <w:start w:val="1"/>
    </w:lvl>
  </w:abstractNum>
  <w:abstractNum w:abstractNumId="1">
    <w:nsid w:val="520EEDD1"/>
    <w:multiLevelType w:val="hybridMultilevel"/>
    <w:lvl w:ilvl="0">
      <w:lvlJc w:val="left"/>
      <w:lvlText w:val="(%1)"/>
      <w:numFmt w:val="lowerLetter"/>
      <w:start w:val="2"/>
    </w:lvl>
  </w:abstractNum>
  <w:abstractNum w:abstractNumId="2">
    <w:nsid w:val="374A3FE6"/>
    <w:multiLevelType w:val="hybridMultilevel"/>
    <w:lvl w:ilvl="0">
      <w:lvlJc w:val="left"/>
      <w:lvlText w:val="(%1)"/>
      <w:numFmt w:val="lowerLetter"/>
      <w:start w:val="3"/>
    </w:lvl>
  </w:abstractNum>
  <w:abstractNum w:abstractNumId="3">
    <w:nsid w:val="4F4EF005"/>
    <w:multiLevelType w:val="hybridMultilevel"/>
    <w:lvl w:ilvl="0">
      <w:lvlJc w:val="left"/>
      <w:lvlText w:val="(%1)"/>
      <w:numFmt w:val="lowerLetter"/>
      <w:start w:val="1"/>
    </w:lvl>
  </w:abstractNum>
  <w:abstractNum w:abstractNumId="4">
    <w:nsid w:val="23F9C13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649BB77C"/>
    <w:multiLevelType w:val="hybridMultilevel"/>
    <w:lvl w:ilvl="0">
      <w:lvlJc w:val="left"/>
      <w:lvlText w:val="(%1)"/>
      <w:numFmt w:val="decimal"/>
      <w:start w:val="2"/>
    </w:lvl>
  </w:abstractNum>
  <w:abstractNum w:abstractNumId="6">
    <w:nsid w:val="275AC794"/>
    <w:multiLevelType w:val="hybridMultilevel"/>
    <w:lvl w:ilvl="0">
      <w:lvlJc w:val="left"/>
      <w:lvlText w:val="%1"/>
      <w:numFmt w:val="lowerLetter"/>
      <w:start w:val="1"/>
    </w:lvl>
    <w:lvl w:ilvl="1">
      <w:lvlJc w:val="left"/>
      <w:lvlText w:val="(%2)"/>
      <w:numFmt w:val="decimal"/>
      <w:start w:val="3"/>
    </w:lvl>
  </w:abstractNum>
  <w:abstractNum w:abstractNumId="7">
    <w:nsid w:val="39386575"/>
    <w:multiLevelType w:val="hybridMultilevel"/>
    <w:lvl w:ilvl="0">
      <w:lvlJc w:val="left"/>
      <w:lvlText w:val="(%1)"/>
      <w:numFmt w:val="lowerLetter"/>
      <w:start w:val="2"/>
    </w:lvl>
    <w:lvl w:ilvl="1">
      <w:lvlJc w:val="left"/>
      <w:lvlText w:val="%2"/>
      <w:numFmt w:val="decimal"/>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1)"/>
      <w:numFmt w:val="lowerLetter"/>
      <w:start w:val="1"/>
    </w:lvl>
    <w:lvl w:ilvl="1">
      <w:lvlJc w:val="left"/>
      <w:lvlText w:val="(%2)"/>
      <w:numFmt w:val="lowerRoman"/>
      <w:start w:val="1"/>
    </w:lvl>
  </w:abstractNum>
  <w:abstractNum w:abstractNumId="10">
    <w:nsid w:val="235BA861"/>
    <w:multiLevelType w:val="hybridMultilevel"/>
    <w:lvl w:ilvl="0">
      <w:lvlJc w:val="left"/>
      <w:lvlText w:val="(%1)"/>
      <w:numFmt w:val="lowerRoman"/>
      <w:start w:val="5"/>
    </w:lvl>
  </w:abstractNum>
  <w:abstractNum w:abstractNumId="11">
    <w:nsid w:val="47398C89"/>
    <w:multiLevelType w:val="hybridMultilevel"/>
    <w:lvl w:ilvl="0">
      <w:lvlJc w:val="left"/>
      <w:lvlText w:val="(%1)"/>
      <w:numFmt w:val="lowerLetter"/>
      <w:start w:val="3"/>
    </w:lvl>
  </w:abstractNum>
  <w:abstractNum w:abstractNumId="12">
    <w:nsid w:val="354FE9F9"/>
    <w:multiLevelType w:val="hybridMultilevel"/>
    <w:lvl w:ilvl="0">
      <w:lvlJc w:val="left"/>
      <w:lvlText w:val="(%1)"/>
      <w:numFmt w:val="lowerLetter"/>
      <w:start w:val="1"/>
    </w:lvl>
    <w:lvl w:ilvl="1">
      <w:lvlJc w:val="left"/>
      <w:lvlText w:val="(%2)"/>
      <w:numFmt w:val="lowerRoman"/>
      <w:start w:val="1"/>
    </w:lvl>
  </w:abstractNum>
  <w:abstractNum w:abstractNumId="13">
    <w:nsid w:val="15B5AF5C"/>
    <w:multiLevelType w:val="hybridMultilevel"/>
    <w:lvl w:ilvl="0">
      <w:lvlJc w:val="left"/>
      <w:lvlText w:val="%1"/>
      <w:numFmt w:val="lowerLetter"/>
      <w:start w:val="1"/>
    </w:lvl>
    <w:lvl w:ilvl="1">
      <w:lvlJc w:val="left"/>
      <w:lvlText w:val="(%2)"/>
      <w:numFmt w:val="lowerLetter"/>
      <w:start w:val="3"/>
    </w:lvl>
  </w:abstractNum>
  <w:abstractNum w:abstractNumId="14">
    <w:nsid w:val="741226BB"/>
    <w:multiLevelType w:val="hybridMultilevel"/>
    <w:lvl w:ilvl="0">
      <w:lvlJc w:val="left"/>
      <w:lvlText w:val="(%1)"/>
      <w:numFmt w:val="lowerLetter"/>
      <w:start w:val="61"/>
    </w:lvl>
    <w:lvl w:ilvl="1">
      <w:lvlJc w:val="left"/>
      <w:lvlText w:val="%2"/>
      <w:numFmt w:val="lowerLetter"/>
      <w:start w:val="1"/>
    </w:lvl>
  </w:abstractNum>
  <w:abstractNum w:abstractNumId="15">
    <w:nsid w:val="D34B6A8"/>
    <w:multiLevelType w:val="hybridMultilevel"/>
    <w:lvl w:ilvl="0">
      <w:lvlJc w:val="left"/>
      <w:lvlText w:val="(%1)"/>
      <w:numFmt w:val="lowerLetter"/>
      <w:start w:val="6"/>
    </w:lvl>
    <w:lvl w:ilvl="1">
      <w:lvlJc w:val="left"/>
      <w:lvlText w:val="(%2)"/>
      <w:numFmt w:val="lowerRoman"/>
      <w:start w:val="1"/>
    </w:lvl>
  </w:abstractNum>
  <w:abstractNum w:abstractNumId="16">
    <w:nsid w:val="10233C99"/>
    <w:multiLevelType w:val="hybridMultilevel"/>
    <w:lvl w:ilvl="0">
      <w:lvlJc w:val="left"/>
      <w:lvlText w:val="(%1)"/>
      <w:numFmt w:val="lowerLetter"/>
      <w:start w:val="7"/>
    </w:lvl>
    <w:lvl w:ilvl="1">
      <w:lvlJc w:val="left"/>
      <w:lvlText w:val="(%2)"/>
      <w:numFmt w:val="lowerLetter"/>
      <w:start w:val="9"/>
    </w:lvl>
  </w:abstractNum>
  <w:abstractNum w:abstractNumId="17">
    <w:nsid w:val="3F6AB60F"/>
    <w:multiLevelType w:val="hybridMultilevel"/>
    <w:lvl w:ilvl="0">
      <w:lvlJc w:val="left"/>
      <w:lvlText w:val="(%1)"/>
      <w:numFmt w:val="lowerRoman"/>
      <w:start w:val="2"/>
    </w:lvl>
  </w:abstractNum>
  <w:abstractNum w:abstractNumId="18">
    <w:nsid w:val="61574095"/>
    <w:multiLevelType w:val="hybridMultilevel"/>
    <w:lvl w:ilvl="0">
      <w:lvlJc w:val="left"/>
      <w:lvlText w:val="(%1)"/>
      <w:numFmt w:val="lowerRoman"/>
      <w:start w:val="5"/>
    </w:lvl>
  </w:abstractNum>
  <w:abstractNum w:abstractNumId="19">
    <w:nsid w:val="7E0C57B1"/>
    <w:multiLevelType w:val="hybridMultilevel"/>
    <w:lvl w:ilvl="0">
      <w:lvlJc w:val="left"/>
      <w:lvlText w:val="%1"/>
      <w:numFmt w:val="lowerLetter"/>
      <w:start w:val="1"/>
    </w:lvl>
    <w:lvl w:ilvl="1">
      <w:lvlJc w:val="left"/>
      <w:lvlText w:val="(%2)"/>
      <w:numFmt w:val="lowerLetter"/>
      <w:start w:val="1"/>
    </w:lvl>
  </w:abstractNum>
  <w:abstractNum w:abstractNumId="20">
    <w:nsid w:val="77AE35EB"/>
    <w:multiLevelType w:val="hybridMultilevel"/>
    <w:lvl w:ilvl="0">
      <w:lvlJc w:val="left"/>
      <w:lvlText w:val="(%1)"/>
      <w:numFmt w:val="lowerLetter"/>
      <w:start w:val="61"/>
    </w:lvl>
    <w:lvl w:ilvl="1">
      <w:lvlJc w:val="left"/>
      <w:lvlText w:val="%2"/>
      <w:numFmt w:val="lowerLetter"/>
      <w:start w:val="1"/>
    </w:lvl>
  </w:abstractNum>
  <w:abstractNum w:abstractNumId="21">
    <w:nsid w:val="579BE4F1"/>
    <w:multiLevelType w:val="hybridMultilevel"/>
    <w:lvl w:ilvl="0">
      <w:lvlJc w:val="left"/>
      <w:lvlText w:val="(%1)"/>
      <w:numFmt w:val="lowerLetter"/>
      <w:start w:val="2"/>
    </w:lvl>
  </w:abstractNum>
  <w:abstractNum w:abstractNumId="22">
    <w:nsid w:val="310C50B3"/>
    <w:multiLevelType w:val="hybridMultilevel"/>
    <w:lvl w:ilvl="0">
      <w:lvlJc w:val="left"/>
      <w:lvlText w:val="%1"/>
      <w:numFmt w:val="lowerRoman"/>
      <w:start w:val="1"/>
    </w:lvl>
    <w:lvl w:ilvl="1">
      <w:lvlJc w:val="left"/>
      <w:lvlText w:val="(%2)"/>
      <w:numFmt w:val="lowerLetter"/>
      <w:start w:val="1"/>
    </w:lvl>
  </w:abstractNum>
  <w:abstractNum w:abstractNumId="23">
    <w:nsid w:val="5FF87E05"/>
    <w:multiLevelType w:val="hybridMultilevel"/>
    <w:lvl w:ilvl="0">
      <w:lvlJc w:val="left"/>
      <w:lvlText w:val="(%1)"/>
      <w:numFmt w:val="lowerRoman"/>
      <w:start w:val="1"/>
    </w:lvl>
    <w:lvl w:ilvl="1">
      <w:lvlJc w:val="left"/>
      <w:lvlText w:val="(%2)"/>
      <w:numFmt w:val="lowerLetter"/>
      <w:start w:val="3"/>
    </w:lvl>
  </w:abstractNum>
  <w:abstractNum w:abstractNumId="24">
    <w:nsid w:val="2F305DEF"/>
    <w:multiLevelType w:val="hybridMultilevel"/>
    <w:lvl w:ilvl="0">
      <w:lvlJc w:val="left"/>
      <w:lvlText w:val="(%1)"/>
      <w:numFmt w:val="lowerLetter"/>
      <w:start w:val="4"/>
    </w:lvl>
  </w:abstractNum>
  <w:abstractNum w:abstractNumId="25">
    <w:nsid w:val="25A70BF7"/>
    <w:multiLevelType w:val="hybridMultilevel"/>
    <w:lvl w:ilvl="0">
      <w:lvlJc w:val="left"/>
      <w:lvlText w:val="(%1)"/>
      <w:numFmt w:val="lowerRoman"/>
      <w:start w:val="1"/>
    </w:lvl>
  </w:abstractNum>
  <w:abstractNum w:abstractNumId="26">
    <w:nsid w:val="1DBABF00"/>
    <w:multiLevelType w:val="hybridMultilevel"/>
    <w:lvl w:ilvl="0">
      <w:lvlJc w:val="left"/>
      <w:lvlText w:val="%1"/>
      <w:numFmt w:val="decimal"/>
      <w:start w:val="1"/>
    </w:lvl>
    <w:lvl w:ilvl="1">
      <w:lvlJc w:val="left"/>
      <w:lvlText w:val="(%2)"/>
      <w:numFmt w:val="lowerLetter"/>
      <w:start w:val="1"/>
    </w:lvl>
  </w:abstractNum>
  <w:abstractNum w:abstractNumId="27">
    <w:nsid w:val="4AD084E9"/>
    <w:multiLevelType w:val="hybridMultilevel"/>
    <w:lvl w:ilvl="0">
      <w:lvlJc w:val="left"/>
      <w:lvlText w:val="(%1)"/>
      <w:numFmt w:val="decimal"/>
      <w:start w:val="3"/>
    </w:lvl>
    <w:lvl w:ilvl="1">
      <w:lvlJc w:val="left"/>
      <w:lvlText w:val="(%2)"/>
      <w:numFmt w:val="lowerLetter"/>
      <w:start w:val="2"/>
    </w:lvl>
  </w:abstractNum>
  <w:abstractNum w:abstractNumId="28">
    <w:nsid w:val="1F48EAA1"/>
    <w:multiLevelType w:val="hybridMultilevel"/>
    <w:lvl w:ilvl="0">
      <w:lvlJc w:val="left"/>
      <w:lvlText w:val="(%1)"/>
      <w:numFmt w:val="lowerLetter"/>
      <w:start w:val="4"/>
    </w:lvl>
  </w:abstractNum>
  <w:abstractNum w:abstractNumId="29">
    <w:nsid w:val="1381823A"/>
    <w:multiLevelType w:val="hybridMultilevel"/>
    <w:lvl w:ilvl="0">
      <w:lvlJc w:val="left"/>
      <w:lvlText w:val="(%1)"/>
      <w:numFmt w:val="lowerLetter"/>
      <w:start w:val="2"/>
    </w:lvl>
  </w:abstractNum>
  <w:abstractNum w:abstractNumId="30">
    <w:nsid w:val="5DB70AE5"/>
    <w:multiLevelType w:val="hybridMultilevel"/>
    <w:lvl w:ilvl="0">
      <w:lvlJc w:val="left"/>
      <w:lvlText w:val="(%1)"/>
      <w:numFmt w:val="lowerLetter"/>
      <w:start w:val="3"/>
    </w:lvl>
    <w:lvl w:ilvl="1">
      <w:lvlJc w:val="left"/>
      <w:lvlText w:val="(%2)"/>
      <w:numFmt w:val="lowerRoman"/>
      <w:start w:val="1"/>
    </w:lvl>
  </w:abstractNum>
  <w:abstractNum w:abstractNumId="31">
    <w:nsid w:val="100F8FCA"/>
    <w:multiLevelType w:val="hybridMultilevel"/>
    <w:lvl w:ilvl="0">
      <w:lvlJc w:val="left"/>
      <w:lvlText w:val="%1"/>
      <w:numFmt w:val="lowerLetter"/>
      <w:start w:val="1"/>
    </w:lvl>
    <w:lvl w:ilvl="1">
      <w:lvlJc w:val="left"/>
      <w:lvlText w:val="(%2)"/>
      <w:numFmt w:val="lowerRoman"/>
      <w:start w:val="4"/>
    </w:lvl>
  </w:abstractNum>
  <w:abstractNum w:abstractNumId="32">
    <w:nsid w:val="6590700B"/>
    <w:multiLevelType w:val="hybridMultilevel"/>
    <w:lvl w:ilvl="0">
      <w:lvlJc w:val="left"/>
      <w:lvlText w:val="(%1)"/>
      <w:numFmt w:val="lowerLetter"/>
      <w:start w:val="4"/>
    </w:lvl>
    <w:lvl w:ilvl="1">
      <w:lvlJc w:val="left"/>
      <w:lvlText w:val="%2"/>
      <w:numFmt w:val="lowerRoman"/>
      <w:start w:val="1"/>
    </w:lvl>
  </w:abstractNum>
  <w:abstractNum w:abstractNumId="33">
    <w:nsid w:val="15014ACB"/>
    <w:multiLevelType w:val="hybridMultilevel"/>
    <w:lvl w:ilvl="0">
      <w:lvlJc w:val="left"/>
      <w:lvlText w:val="(%1)"/>
      <w:numFmt w:val="lowerLetter"/>
      <w:start w:val="1"/>
    </w:lvl>
    <w:lvl w:ilvl="1">
      <w:lvlJc w:val="left"/>
      <w:lvlText w:val="(%2)"/>
      <w:numFmt w:val="lowerRoman"/>
      <w:start w:val="1"/>
    </w:lvl>
  </w:abstractNum>
  <w:abstractNum w:abstractNumId="34">
    <w:nsid w:val="5F5E7FD0"/>
    <w:multiLevelType w:val="hybridMultilevel"/>
    <w:lvl w:ilvl="0">
      <w:lvlJc w:val="left"/>
      <w:lvlText w:val="(%1)"/>
      <w:numFmt w:val="lowerLetter"/>
      <w:start w:val="1"/>
    </w:lvl>
    <w:lvl w:ilvl="1">
      <w:lvlJc w:val="left"/>
      <w:lvlText w:val="(%2)"/>
      <w:numFmt w:val="lowerRoman"/>
      <w:start w:val="1"/>
    </w:lvl>
  </w:abstractNum>
  <w:abstractNum w:abstractNumId="35">
    <w:nsid w:val="98A3148"/>
    <w:multiLevelType w:val="hybridMultilevel"/>
    <w:lvl w:ilvl="0">
      <w:lvlJc w:val="left"/>
      <w:lvlText w:val="(%1)"/>
      <w:numFmt w:val="lowerLetter"/>
      <w:start w:val="2"/>
    </w:lvl>
    <w:lvl w:ilvl="1">
      <w:lvlJc w:val="left"/>
      <w:lvlText w:val="(%2)"/>
      <w:numFmt w:val="lowerRoman"/>
      <w:start w:val="1"/>
    </w:lvl>
  </w:abstractNum>
  <w:abstractNum w:abstractNumId="36">
    <w:nsid w:val="799D0247"/>
    <w:multiLevelType w:val="hybridMultilevel"/>
    <w:lvl w:ilvl="0">
      <w:lvlJc w:val="left"/>
      <w:lvlText w:val="(%1)"/>
      <w:numFmt w:val="lowerLetter"/>
      <w:start w:val="3"/>
    </w:lvl>
    <w:lvl w:ilvl="1">
      <w:lvlJc w:val="left"/>
      <w:lvlText w:val="(%2)"/>
      <w:numFmt w:val="lowerRoman"/>
      <w:start w:val="1"/>
    </w:lvl>
  </w:abstractNum>
  <w:abstractNum w:abstractNumId="37">
    <w:nsid w:val="6B94764"/>
    <w:multiLevelType w:val="hybridMultilevel"/>
    <w:lvl w:ilvl="0">
      <w:lvlJc w:val="left"/>
      <w:lvlText w:val="(%1)"/>
      <w:numFmt w:val="lowerLetter"/>
      <w:start w:val="5"/>
    </w:lvl>
    <w:lvl w:ilvl="1">
      <w:lvlJc w:val="left"/>
      <w:lvlText w:val="(%2)"/>
      <w:numFmt w:val="lowerRoman"/>
      <w:start w:val="1"/>
    </w:lvl>
  </w:abstractNum>
  <w:abstractNum w:abstractNumId="38">
    <w:nsid w:val="42C296BD"/>
    <w:multiLevelType w:val="hybridMultilevel"/>
    <w:lvl w:ilvl="0">
      <w:lvlJc w:val="left"/>
      <w:lvlText w:val="(%1)"/>
      <w:numFmt w:val="lowerLetter"/>
      <w:start w:val="6"/>
    </w:lvl>
  </w:abstractNum>
  <w:abstractNum w:abstractNumId="39">
    <w:nsid w:val="168E121F"/>
    <w:multiLevelType w:val="hybridMultilevel"/>
    <w:lvl w:ilvl="0">
      <w:lvlJc w:val="left"/>
      <w:lvlText w:val="(%1)"/>
      <w:numFmt w:val="lowerLetter"/>
      <w:start w:val="1"/>
    </w:lvl>
  </w:abstractNum>
  <w:abstractNum w:abstractNumId="40">
    <w:nsid w:val="1EBA5D23"/>
    <w:multiLevelType w:val="hybridMultilevel"/>
    <w:lvl w:ilvl="0">
      <w:lvlJc w:val="left"/>
      <w:lvlText w:val="(%1)"/>
      <w:numFmt w:val="lowerLetter"/>
      <w:start w:val="1"/>
    </w:lvl>
  </w:abstractNum>
  <w:abstractNum w:abstractNumId="41">
    <w:nsid w:val="661E3F1E"/>
    <w:multiLevelType w:val="hybridMultilevel"/>
    <w:lvl w:ilvl="0">
      <w:lvlJc w:val="left"/>
      <w:lvlText w:val="%1"/>
      <w:numFmt w:val="lowerLetter"/>
      <w:start w:val="1"/>
    </w:lvl>
    <w:lvl w:ilvl="1">
      <w:lvlJc w:val="left"/>
      <w:lvlText w:val="(%2)"/>
      <w:numFmt w:val="lowerLetter"/>
      <w:start w:val="4"/>
    </w:lvl>
  </w:abstractNum>
  <w:abstractNum w:abstractNumId="42">
    <w:nsid w:val="5DC79EA8"/>
    <w:multiLevelType w:val="hybridMultilevel"/>
    <w:lvl w:ilvl="0">
      <w:lvlJc w:val="left"/>
      <w:lvlText w:val="(%1)"/>
      <w:numFmt w:val="lowerLetter"/>
      <w:start w:val="61"/>
    </w:lvl>
    <w:lvl w:ilvl="1">
      <w:lvlJc w:val="left"/>
      <w:lvlText w:val="%2"/>
      <w:numFmt w:val="lowerLetter"/>
      <w:start w:val="1"/>
    </w:lvl>
  </w:abstractNum>
  <w:abstractNum w:abstractNumId="43">
    <w:nsid w:val="540A471C"/>
    <w:multiLevelType w:val="hybridMultilevel"/>
    <w:lvl w:ilvl="0">
      <w:lvlJc w:val="left"/>
      <w:lvlText w:val="(%1)"/>
      <w:numFmt w:val="lowerLetter"/>
      <w:start w:val="1"/>
    </w:lvl>
    <w:lvl w:ilvl="1">
      <w:lvlJc w:val="left"/>
      <w:lvlText w:val="(%2)"/>
      <w:numFmt w:val="lowerRoman"/>
      <w:start w:val="1"/>
    </w:lvl>
  </w:abstractNum>
  <w:abstractNum w:abstractNumId="44">
    <w:nsid w:val="7BD3EE7B"/>
    <w:multiLevelType w:val="hybridMultilevel"/>
    <w:lvl w:ilvl="0">
      <w:lvlJc w:val="left"/>
      <w:lvlText w:val="(%1)"/>
      <w:numFmt w:val="lowerLetter"/>
      <w:start w:val="2"/>
    </w:lvl>
  </w:abstractNum>
  <w:abstractNum w:abstractNumId="45">
    <w:nsid w:val="51D9C564"/>
    <w:multiLevelType w:val="hybridMultilevel"/>
    <w:lvl w:ilvl="0">
      <w:lvlJc w:val="left"/>
      <w:lvlText w:val="(%1)"/>
      <w:numFmt w:val="lowerLetter"/>
      <w:start w:val="3"/>
    </w:lvl>
  </w:abstractNum>
  <w:abstractNum w:abstractNumId="46">
    <w:nsid w:val="613EFDC5"/>
    <w:multiLevelType w:val="hybridMultilevel"/>
    <w:lvl w:ilvl="0">
      <w:lvlJc w:val="left"/>
      <w:lvlText w:val="(%1)"/>
      <w:numFmt w:val="lowerLetter"/>
      <w:start w:val="4"/>
    </w:lvl>
  </w:abstractNum>
  <w:abstractNum w:abstractNumId="47">
    <w:nsid w:val="BF72B14"/>
    <w:multiLevelType w:val="hybridMultilevel"/>
    <w:lvl w:ilvl="0">
      <w:lvlJc w:val="left"/>
      <w:lvlText w:val="(%1)"/>
      <w:numFmt w:val="lowerLetter"/>
      <w:start w:val="5"/>
    </w:lvl>
  </w:abstractNum>
  <w:abstractNum w:abstractNumId="48">
    <w:nsid w:val="11447B73"/>
    <w:multiLevelType w:val="hybridMultilevel"/>
    <w:lvl w:ilvl="0">
      <w:lvlJc w:val="left"/>
      <w:lvlText w:val="(%1)"/>
      <w:numFmt w:val="lowerLetter"/>
      <w:start w:val="1"/>
    </w:lvl>
    <w:lvl w:ilvl="1">
      <w:lvlJc w:val="left"/>
      <w:lvlText w:val="(%2)"/>
      <w:numFmt w:val="lowerRoman"/>
      <w:start w:val="1"/>
    </w:lvl>
  </w:abstractNum>
  <w:abstractNum w:abstractNumId="49">
    <w:nsid w:val="42963E5A"/>
    <w:multiLevelType w:val="hybridMultilevel"/>
    <w:lvl w:ilvl="0">
      <w:lvlJc w:val="left"/>
      <w:lvlText w:val="(%1)"/>
      <w:numFmt w:val="lowerLetter"/>
      <w:start w:val="2"/>
    </w:lvl>
    <w:lvl w:ilvl="1">
      <w:lvlJc w:val="left"/>
      <w:lvlText w:val="(%2)"/>
      <w:numFmt w:val="lowerRoman"/>
      <w:start w:val="1"/>
    </w:lvl>
  </w:abstractNum>
  <w:abstractNum w:abstractNumId="50">
    <w:nsid w:val="A0382C5"/>
    <w:multiLevelType w:val="hybridMultilevel"/>
    <w:lvl w:ilvl="0">
      <w:lvlJc w:val="left"/>
      <w:lvlText w:val="%1"/>
      <w:numFmt w:val="lowerLetter"/>
      <w:start w:val="1"/>
    </w:lvl>
    <w:lvl w:ilvl="1">
      <w:lvlJc w:val="left"/>
      <w:lvlText w:val="(%2)"/>
      <w:numFmt w:val="lowerLetter"/>
      <w:start w:val="61"/>
    </w:lvl>
  </w:abstractNum>
  <w:abstractNum w:abstractNumId="51">
    <w:nsid w:val="8F2B15E"/>
    <w:multiLevelType w:val="hybridMultilevel"/>
    <w:lvl w:ilvl="0">
      <w:lvlJc w:val="left"/>
      <w:lvlText w:val="(%1)"/>
      <w:numFmt w:val="lowerLetter"/>
      <w:start w:val="4"/>
    </w:lvl>
    <w:lvl w:ilvl="1">
      <w:lvlJc w:val="left"/>
      <w:lvlText w:val="%2"/>
      <w:numFmt w:val="lowerLetter"/>
      <w:start w:val="1"/>
    </w:lvl>
  </w:abstractNum>
  <w:abstractNum w:abstractNumId="52">
    <w:nsid w:val="1A32234B"/>
    <w:multiLevelType w:val="hybridMultilevel"/>
    <w:lvl w:ilvl="0">
      <w:lvlJc w:val="left"/>
      <w:lvlText w:val="(%1)"/>
      <w:numFmt w:val="lowerLetter"/>
      <w:start w:val="5"/>
    </w:lvl>
  </w:abstractNum>
  <w:abstractNum w:abstractNumId="53">
    <w:nsid w:val="3B0FD379"/>
    <w:multiLevelType w:val="hybridMultilevel"/>
    <w:lvl w:ilvl="0">
      <w:lvlJc w:val="left"/>
      <w:lvlText w:val="(%1)"/>
      <w:numFmt w:val="lowerLetter"/>
      <w:start w:val="6"/>
    </w:lvl>
  </w:abstractNum>
  <w:abstractNum w:abstractNumId="54">
    <w:nsid w:val="68EB2F63"/>
    <w:multiLevelType w:val="hybridMultilevel"/>
    <w:lvl w:ilvl="0">
      <w:lvlJc w:val="left"/>
      <w:lvlText w:val="(%1)"/>
      <w:numFmt w:val="lowerLetter"/>
      <w:start w:val="7"/>
    </w:lvl>
  </w:abstractNum>
  <w:abstractNum w:abstractNumId="55">
    <w:nsid w:val="4962813B"/>
    <w:multiLevelType w:val="hybridMultilevel"/>
    <w:lvl w:ilvl="0">
      <w:lvlJc w:val="left"/>
      <w:lvlText w:val="(%1)"/>
      <w:numFmt w:val="lowerLetter"/>
      <w:start w:val="8"/>
    </w:lvl>
  </w:abstractNum>
  <w:abstractNum w:abstractNumId="56">
    <w:nsid w:val="60B6DF70"/>
    <w:multiLevelType w:val="hybridMultilevel"/>
    <w:lvl w:ilvl="0">
      <w:lvlJc w:val="left"/>
      <w:lvlText w:val="(%1)"/>
      <w:numFmt w:val="lowerLetter"/>
      <w:start w:val="1"/>
    </w:lvl>
  </w:abstractNum>
  <w:abstractNum w:abstractNumId="57">
    <w:nsid w:val="6A5EE64"/>
    <w:multiLevelType w:val="hybridMultilevel"/>
    <w:lvl w:ilvl="0">
      <w:lvlJc w:val="left"/>
      <w:lvlText w:val="(%1)"/>
      <w:numFmt w:val="lowerLetter"/>
      <w:start w:val="5"/>
    </w:lvl>
  </w:abstractNum>
  <w:abstractNum w:abstractNumId="58">
    <w:nsid w:val="14330624"/>
    <w:multiLevelType w:val="hybridMultilevel"/>
    <w:lvl w:ilvl="0">
      <w:lvlJc w:val="left"/>
      <w:lvlText w:val="(%1)"/>
      <w:numFmt w:val="lowerLetter"/>
      <w:start w:val="1"/>
    </w:lvl>
  </w:abstractNum>
  <w:abstractNum w:abstractNumId="59">
    <w:nsid w:val="7FFFCA11"/>
    <w:multiLevelType w:val="hybridMultilevel"/>
    <w:lvl w:ilvl="0">
      <w:lvlJc w:val="left"/>
      <w:lvlText w:val="(%1)"/>
      <w:numFmt w:val="lowerLetter"/>
      <w:start w:val="1"/>
    </w:lvl>
  </w:abstractNum>
  <w:abstractNum w:abstractNumId="60">
    <w:nsid w:val="1A27709E"/>
    <w:multiLevelType w:val="hybridMultilevel"/>
    <w:lvl w:ilvl="0">
      <w:lvlJc w:val="left"/>
      <w:lvlText w:val="(%1)"/>
      <w:numFmt w:val="lowerLetter"/>
      <w:start w:val="4"/>
    </w:lvl>
  </w:abstractNum>
  <w:abstractNum w:abstractNumId="61">
    <w:nsid w:val="71EA1109"/>
    <w:multiLevelType w:val="hybridMultilevel"/>
    <w:lvl w:ilvl="0">
      <w:lvlJc w:val="left"/>
      <w:lvlText w:val="(%1)"/>
      <w:numFmt w:val="lowerLetter"/>
      <w:start w:val="1"/>
    </w:lvl>
  </w:abstractNum>
  <w:abstractNum w:abstractNumId="62">
    <w:nsid w:val="100F59DC"/>
    <w:multiLevelType w:val="hybridMultilevel"/>
    <w:lvl w:ilvl="0">
      <w:lvlJc w:val="left"/>
      <w:lvlText w:val="(%1)"/>
      <w:numFmt w:val="decimal"/>
      <w:start w:val="1"/>
    </w:lvl>
  </w:abstractNum>
  <w:abstractNum w:abstractNumId="63">
    <w:nsid w:val="7FB7E0AA"/>
    <w:multiLevelType w:val="hybridMultilevel"/>
    <w:lvl w:ilvl="0">
      <w:lvlJc w:val="left"/>
      <w:lvlText w:val="(%1)"/>
      <w:numFmt w:val="decimal"/>
      <w:start w:val="2"/>
    </w:lvl>
  </w:abstractNum>
  <w:abstractNum w:abstractNumId="64">
    <w:nsid w:val="6EB5BD4"/>
    <w:multiLevelType w:val="hybridMultilevel"/>
    <w:lvl w:ilvl="0">
      <w:lvlJc w:val="left"/>
      <w:lvlText w:val="%1"/>
      <w:numFmt w:val="lowerLetter"/>
      <w:start w:val="1"/>
    </w:lvl>
    <w:lvl w:ilvl="1">
      <w:lvlJc w:val="left"/>
      <w:lvlText w:val="(%2)"/>
      <w:numFmt w:val="decimal"/>
      <w:start w:val="3"/>
    </w:lvl>
  </w:abstractNum>
  <w:abstractNum w:abstractNumId="65">
    <w:nsid w:val="6F6DD9AC"/>
    <w:multiLevelType w:val="hybridMultilevel"/>
    <w:lvl w:ilvl="0">
      <w:lvlJc w:val="left"/>
      <w:lvlText w:val="(%1)"/>
      <w:numFmt w:val="lowerLetter"/>
      <w:start w:val="2"/>
    </w:lvl>
    <w:lvl w:ilvl="1">
      <w:lvlJc w:val="left"/>
      <w:lvlText w:val="%2"/>
      <w:numFmt w:val="decimal"/>
      <w:start w:val="1"/>
    </w:lvl>
  </w:abstractNum>
  <w:abstractNum w:abstractNumId="66">
    <w:nsid w:val="94211F2"/>
    <w:multiLevelType w:val="hybridMultilevel"/>
    <w:lvl w:ilvl="0">
      <w:lvlJc w:val="left"/>
      <w:lvlText w:val="(%1)"/>
      <w:numFmt w:val="decimal"/>
      <w:start w:val="1"/>
    </w:lvl>
  </w:abstractNum>
  <w:abstractNum w:abstractNumId="67">
    <w:nsid w:val="885E1B"/>
    <w:multiLevelType w:val="hybridMultilevel"/>
    <w:lvl w:ilvl="0">
      <w:lvlJc w:val="left"/>
      <w:lvlText w:val="(%1)"/>
      <w:numFmt w:val="decimal"/>
      <w:start w:val="3"/>
    </w:lvl>
  </w:abstractNum>
  <w:abstractNum w:abstractNumId="68">
    <w:nsid w:val="76272110"/>
    <w:multiLevelType w:val="hybridMultilevel"/>
    <w:lvl w:ilvl="0">
      <w:lvlJc w:val="left"/>
      <w:lvlText w:val="(%1)"/>
      <w:numFmt w:val="lowerLetter"/>
      <w:start w:val="3"/>
    </w:lvl>
    <w:lvl w:ilvl="1">
      <w:lvlJc w:val="left"/>
      <w:lvlText w:val="(%2)"/>
      <w:numFmt w:val="decimal"/>
      <w:start w:val="1"/>
    </w:lvl>
  </w:abstractNum>
  <w:abstractNum w:abstractNumId="69">
    <w:nsid w:val="4C04A8AF"/>
    <w:multiLevelType w:val="hybridMultilevel"/>
    <w:lvl w:ilvl="0">
      <w:lvlJc w:val="left"/>
      <w:lvlText w:val="(%1)"/>
      <w:numFmt w:val="lowerLetter"/>
      <w:start w:val="4"/>
    </w:lvl>
    <w:lvl w:ilvl="1">
      <w:lvlJc w:val="left"/>
      <w:lvlText w:val="(%2)"/>
      <w:numFmt w:val="decimal"/>
      <w:start w:val="1"/>
    </w:lvl>
  </w:abstractNum>
  <w:abstractNum w:abstractNumId="70">
    <w:nsid w:val="1716703B"/>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abstractNum>
  <w:abstractNum w:abstractNumId="71">
    <w:nsid w:val="14E17E33"/>
    <w:multiLevelType w:val="hybridMultilevel"/>
    <w:lvl w:ilvl="0">
      <w:lvlJc w:val="left"/>
      <w:lvlText w:val="(%1)"/>
      <w:numFmt w:val="upperLetter"/>
      <w:start w:val="9"/>
    </w:lvl>
    <w:lvl w:ilvl="1">
      <w:lvlJc w:val="left"/>
      <w:lvlText w:val="%2"/>
      <w:numFmt w:val="upperLetter"/>
      <w:start w:val="1"/>
    </w:lvl>
    <w:lvl w:ilvl="2">
      <w:lvlJc w:val="left"/>
      <w:lvlText w:val="%3"/>
      <w:numFmt w:val="lowerRoman"/>
      <w:start w:val="1"/>
    </w:lvl>
  </w:abstractNum>
  <w:abstractNum w:abstractNumId="72">
    <w:nsid w:val="3222E7CD"/>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73">
    <w:nsid w:val="74DE0EE3"/>
    <w:multiLevelType w:val="hybridMultilevel"/>
    <w:lvl w:ilvl="0">
      <w:lvlJc w:val="left"/>
      <w:lvlText w:val="(%1)"/>
      <w:numFmt w:val="upperLetter"/>
      <w:start w:val="9"/>
    </w:lvl>
  </w:abstractNum>
  <w:abstractNum w:abstractNumId="74">
    <w:nsid w:val="68EBC550"/>
    <w:multiLevelType w:val="hybridMultilevel"/>
    <w:lvl w:ilvl="0">
      <w:lvlJc w:val="left"/>
      <w:lvlText w:val="(%1)"/>
      <w:numFmt w:val="upperLetter"/>
      <w:start w:val="35"/>
    </w:lvl>
  </w:abstractNum>
  <w:abstractNum w:abstractNumId="75">
    <w:nsid w:val="2DF6D648"/>
    <w:multiLevelType w:val="hybridMultilevel"/>
    <w:lvl w:ilvl="0">
      <w:lvlJc w:val="left"/>
      <w:lvlText w:val="(%1)"/>
      <w:numFmt w:val="lowerLetter"/>
      <w:start w:val="1"/>
    </w:lvl>
  </w:abstractNum>
  <w:abstractNum w:abstractNumId="76">
    <w:nsid w:val="46B7D447"/>
    <w:multiLevelType w:val="hybridMultilevel"/>
    <w:lvl w:ilvl="0">
      <w:lvlJc w:val="left"/>
      <w:lvlText w:val="(%1)"/>
      <w:numFmt w:val="lowerLetter"/>
      <w:start w:val="4"/>
    </w:lvl>
  </w:abstractNum>
  <w:abstractNum w:abstractNumId="77">
    <w:nsid w:val="4A2AC315"/>
    <w:multiLevelType w:val="hybridMultilevel"/>
    <w:lvl w:ilvl="0">
      <w:lvlJc w:val="left"/>
      <w:lvlText w:val="(%1)"/>
      <w:numFmt w:val="lowerLetter"/>
      <w:start w:val="7"/>
    </w:lvl>
  </w:abstractNum>
  <w:abstractNum w:abstractNumId="78">
    <w:nsid w:val="39EE015C"/>
    <w:multiLevelType w:val="hybridMultilevel"/>
    <w:lvl w:ilvl="0">
      <w:lvlJc w:val="left"/>
      <w:lvlText w:val="(%1)"/>
      <w:numFmt w:val="lowerLetter"/>
      <w:start w:val="10"/>
    </w:lvl>
  </w:abstractNum>
  <w:abstractNum w:abstractNumId="79">
    <w:nsid w:val="57FC4FBB"/>
    <w:multiLevelType w:val="hybridMultilevel"/>
    <w:lvl w:ilvl="0">
      <w:lvlJc w:val="left"/>
      <w:lvlText w:val="(%1)"/>
      <w:numFmt w:val="lowerLetter"/>
      <w:start w:val="1"/>
    </w:lvl>
    <w:lvl w:ilvl="1">
      <w:lvlJc w:val="left"/>
      <w:lvlText w:val="(%2)"/>
      <w:numFmt w:val="lowerRoman"/>
      <w:start w:val="1"/>
    </w:lvl>
  </w:abstractNum>
  <w:abstractNum w:abstractNumId="80">
    <w:nsid w:val="CC1016F"/>
    <w:multiLevelType w:val="hybridMultilevel"/>
    <w:lvl w:ilvl="0">
      <w:lvlJc w:val="left"/>
      <w:lvlText w:val="(%1)"/>
      <w:numFmt w:val="lowerLetter"/>
      <w:start w:val="5"/>
    </w:lvl>
  </w:abstractNum>
  <w:abstractNum w:abstractNumId="81">
    <w:nsid w:val="43F18422"/>
    <w:multiLevelType w:val="hybridMultilevel"/>
    <w:lvl w:ilvl="0">
      <w:lvlJc w:val="left"/>
      <w:lvlText w:val="(%1)"/>
      <w:numFmt w:val="lowerLetter"/>
      <w:start w:val="14"/>
    </w:lvl>
  </w:abstractNum>
  <w:abstractNum w:abstractNumId="82">
    <w:nsid w:val="60EF0119"/>
    <w:multiLevelType w:val="hybridMultilevel"/>
    <w:lvl w:ilvl="0">
      <w:lvlJc w:val="left"/>
      <w:lvlText w:val="(%1)"/>
      <w:numFmt w:val="lowerLetter"/>
      <w:start w:val="18"/>
    </w:lvl>
  </w:abstractNum>
  <w:abstractNum w:abstractNumId="83">
    <w:nsid w:val="26F324BA"/>
    <w:multiLevelType w:val="hybridMultilevel"/>
    <w:lvl w:ilvl="0">
      <w:lvlJc w:val="left"/>
      <w:lvlText w:val="(%1)"/>
      <w:numFmt w:val="lowerLetter"/>
      <w:start w:val="19"/>
    </w:lvl>
  </w:abstractNum>
  <w:abstractNum w:abstractNumId="84">
    <w:nsid w:val="7F01579B"/>
    <w:multiLevelType w:val="hybridMultilevel"/>
    <w:lvl w:ilvl="0">
      <w:lvlJc w:val="left"/>
      <w:lvlText w:val="(%1)"/>
      <w:numFmt w:val="lowerLetter"/>
      <w:start w:val="27"/>
    </w:lvl>
  </w:abstractNum>
  <w:abstractNum w:abstractNumId="85">
    <w:nsid w:val="49DA307D"/>
    <w:multiLevelType w:val="hybridMultilevel"/>
    <w:lvl w:ilvl="0">
      <w:lvlJc w:val="left"/>
      <w:lvlText w:val="(%1)"/>
      <w:numFmt w:val="lowerLetter"/>
      <w:start w:val="28"/>
    </w:lvl>
    <w:lvl w:ilvl="1">
      <w:lvlJc w:val="left"/>
      <w:lvlText w:val="(%2)"/>
      <w:numFmt w:val="lowerLetter"/>
      <w:start w:val="9"/>
    </w:lvl>
  </w:abstractNum>
  <w:abstractNum w:abstractNumId="86">
    <w:nsid w:val="7055A5F5"/>
    <w:multiLevelType w:val="hybridMultilevel"/>
    <w:lvl w:ilvl="0">
      <w:lvlJc w:val="left"/>
      <w:lvlText w:val="(%1)"/>
      <w:numFmt w:val="lowerRoman"/>
      <w:start w:val="2"/>
    </w:lvl>
  </w:abstractNum>
  <w:abstractNum w:abstractNumId="87">
    <w:nsid w:val="5FB8370B"/>
    <w:multiLevelType w:val="hybridMultilevel"/>
    <w:lvl w:ilvl="0">
      <w:lvlJc w:val="left"/>
      <w:lvlText w:val="(%1)"/>
      <w:numFmt w:val="lowerLetter"/>
      <w:start w:val="34"/>
    </w:lvl>
  </w:abstractNum>
  <w:abstractNum w:abstractNumId="88">
    <w:nsid w:val="50801EE1"/>
    <w:multiLevelType w:val="hybridMultilevel"/>
    <w:lvl w:ilvl="0">
      <w:lvlJc w:val="left"/>
      <w:lvlText w:val="•"/>
      <w:numFmt w:val="bullet"/>
      <w:start w:val="1"/>
    </w:lvl>
  </w:abstractNum>
  <w:abstractNum w:abstractNumId="89">
    <w:nsid w:val="488AC1A"/>
    <w:multiLevelType w:val="hybridMultilevel"/>
    <w:lvl w:ilvl="0">
      <w:lvlJc w:val="left"/>
      <w:lvlText w:val="(%1)"/>
      <w:numFmt w:val="lowerLetter"/>
      <w:start w:val="6"/>
    </w:lvl>
  </w:abstractNum>
  <w:abstractNum w:abstractNumId="90">
    <w:nsid w:val="5FB8011C"/>
    <w:multiLevelType w:val="hybridMultilevel"/>
    <w:lvl w:ilvl="0">
      <w:lvlJc w:val="left"/>
      <w:lvlText w:val="(%1)"/>
      <w:numFmt w:val="lowerLetter"/>
      <w:start w:val="1"/>
    </w:lvl>
  </w:abstractNum>
  <w:abstractNum w:abstractNumId="91">
    <w:nsid w:val="6AA78F7F"/>
    <w:multiLevelType w:val="hybridMultilevel"/>
    <w:lvl w:ilvl="0">
      <w:lvlJc w:val="left"/>
      <w:lvlText w:val="(%1)"/>
      <w:numFmt w:val="lowerLetter"/>
      <w:start w:val="1"/>
    </w:lvl>
  </w:abstractNum>
  <w:abstractNum w:abstractNumId="92">
    <w:nsid w:val="7672BD23"/>
    <w:multiLevelType w:val="hybridMultilevel"/>
    <w:lvl w:ilvl="0">
      <w:lvlJc w:val="left"/>
      <w:lvlText w:val="(%1)"/>
      <w:numFmt w:val="lowerLetter"/>
      <w:start w:val="5"/>
    </w:lvl>
  </w:abstractNum>
  <w:abstractNum w:abstractNumId="93">
    <w:nsid w:val="6FC75AF8"/>
    <w:multiLevelType w:val="hybridMultilevel"/>
    <w:lvl w:ilvl="0">
      <w:lvlJc w:val="left"/>
      <w:lvlText w:val="%1."/>
      <w:numFmt w:val="decimal"/>
      <w:start w:val="1"/>
    </w:lvl>
  </w:abstractNum>
  <w:abstractNum w:abstractNumId="94">
    <w:nsid w:val="6A5F7029"/>
    <w:multiLevelType w:val="hybridMultilevel"/>
    <w:lvl w:ilvl="0">
      <w:lvlJc w:val="left"/>
      <w:lvlText w:val="(%1)"/>
      <w:numFmt w:val="lowerLetter"/>
      <w:start w:val="1"/>
    </w:lvl>
  </w:abstractNum>
  <w:abstractNum w:abstractNumId="95">
    <w:nsid w:val="7D5E18F8"/>
    <w:multiLevelType w:val="hybridMultilevel"/>
    <w:lvl w:ilvl="0">
      <w:lvlJc w:val="left"/>
      <w:lvlText w:val="(%1)"/>
      <w:numFmt w:val="lowerLetter"/>
      <w:start w:val="1"/>
    </w:lvl>
  </w:abstractNum>
  <w:abstractNum w:abstractNumId="96">
    <w:nsid w:val="5F3534A4"/>
    <w:multiLevelType w:val="hybridMultilevel"/>
    <w:lvl w:ilvl="0">
      <w:lvlJc w:val="left"/>
      <w:lvlText w:val="(%1)"/>
      <w:numFmt w:val="lowerLetter"/>
      <w:start w:val="2"/>
    </w:lvl>
  </w:abstractNum>
  <w:abstractNum w:abstractNumId="97">
    <w:nsid w:val="73A1821B"/>
    <w:multiLevelType w:val="hybridMultilevel"/>
    <w:lvl w:ilvl="0">
      <w:lvlJc w:val="left"/>
      <w:lvlText w:val="(%1)"/>
      <w:numFmt w:val="lowerLetter"/>
      <w:start w:val="1"/>
    </w:lvl>
  </w:abstractNum>
  <w:abstractNum w:abstractNumId="98">
    <w:nsid w:val="7DE67713"/>
    <w:multiLevelType w:val="hybridMultilevel"/>
    <w:lvl w:ilvl="0">
      <w:lvlJc w:val="left"/>
      <w:lvlText w:val="%1."/>
      <w:numFmt w:val="decimal"/>
      <w:start w:val="2"/>
    </w:lvl>
    <w:lvl w:ilvl="1">
      <w:lvlJc w:val="left"/>
      <w:lvlText w:val="(%2)"/>
      <w:numFmt w:val="lowerLetter"/>
      <w:start w:val="1"/>
    </w:lvl>
  </w:abstractNum>
  <w:abstractNum w:abstractNumId="99">
    <w:nsid w:val="555C55B5"/>
    <w:multiLevelType w:val="hybridMultilevel"/>
    <w:lvl w:ilvl="0">
      <w:lvlJc w:val="left"/>
      <w:lvlText w:val="(%1)"/>
      <w:numFmt w:val="lowerLetter"/>
      <w:start w:val="5"/>
    </w:lvl>
  </w:abstractNum>
  <w:abstractNum w:abstractNumId="100">
    <w:nsid w:val="3FA62ACA"/>
    <w:multiLevelType w:val="hybridMultilevel"/>
    <w:lvl w:ilvl="0">
      <w:lvlJc w:val="left"/>
      <w:lvlText w:val="%1."/>
      <w:numFmt w:val="decimal"/>
      <w:start w:val="3"/>
    </w:lvl>
  </w:abstractNum>
  <w:abstractNum w:abstractNumId="101">
    <w:nsid w:val="14FCE74E"/>
    <w:multiLevelType w:val="hybridMultilevel"/>
    <w:lvl w:ilvl="0">
      <w:lvlJc w:val="left"/>
      <w:lvlText w:val="(%1)"/>
      <w:numFmt w:val="lowerLetter"/>
      <w:start w:val="1"/>
    </w:lvl>
  </w:abstractNum>
  <w:abstractNum w:abstractNumId="102">
    <w:nsid w:val="6A3DD3E8"/>
    <w:multiLevelType w:val="hybridMultilevel"/>
    <w:lvl w:ilvl="0">
      <w:lvlJc w:val="left"/>
      <w:lvlText w:val="(%1)"/>
      <w:numFmt w:val="lowerLetter"/>
      <w:start w:val="8"/>
    </w:lvl>
  </w:abstractNum>
  <w:abstractNum w:abstractNumId="103">
    <w:nsid w:val="71C91298"/>
    <w:multiLevelType w:val="hybridMultilevel"/>
    <w:lvl w:ilvl="0">
      <w:lvlJc w:val="left"/>
      <w:lvlText w:val="(%1)"/>
      <w:numFmt w:val="lowerLetter"/>
      <w:start w:val="16"/>
    </w:lvl>
  </w:abstractNum>
  <w:abstractNum w:abstractNumId="104">
    <w:nsid w:val="9DAF6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2019-12-08T06:13:26Z</dcterms:created>
  <dcterms:modified xsi:type="dcterms:W3CDTF">2019-12-08T06:13:26Z</dcterms:modified>
</cp:coreProperties>
</file>