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243205</wp:posOffset>
            </wp:positionH>
            <wp:positionV relativeFrom="page">
              <wp:posOffset>620395</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534670</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t>UNITED STATES</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2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0" w:lineRule="exact"/>
        <w:rPr>
          <w:sz w:val="24"/>
          <w:szCs w:val="24"/>
          <w:color w:val="auto"/>
        </w:rPr>
      </w:pPr>
    </w:p>
    <w:p>
      <w:pPr>
        <w:spacing w:after="0" w:line="24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October 24, 2018</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TechnipFMC plc</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79" w:lineRule="exact"/>
        <w:rPr>
          <w:sz w:val="24"/>
          <w:szCs w:val="24"/>
          <w:color w:val="auto"/>
        </w:rPr>
      </w:pPr>
    </w:p>
    <w:tbl>
      <w:tblPr>
        <w:tblLayout w:type="fixed"/>
        <w:tblInd w:w="480" w:type="dxa"/>
        <w:tblCellMar>
          <w:top w:w="0" w:type="dxa"/>
          <w:left w:w="0" w:type="dxa"/>
          <w:bottom w:w="0" w:type="dxa"/>
          <w:right w:w="0" w:type="dxa"/>
        </w:tblCellMar>
      </w:tblPr>
      <w:tr>
        <w:trPr>
          <w:trHeight w:val="239"/>
        </w:trPr>
        <w:tc>
          <w:tcPr>
            <w:tcW w:w="3000" w:type="dxa"/>
            <w:vAlign w:val="bottom"/>
          </w:tcPr>
          <w:p>
            <w:pPr>
              <w:jc w:val="center"/>
              <w:ind w:right="197"/>
              <w:spacing w:after="0"/>
              <w:rPr>
                <w:sz w:val="20"/>
                <w:szCs w:val="20"/>
                <w:color w:val="auto"/>
              </w:rPr>
            </w:pPr>
            <w:r>
              <w:rPr>
                <w:rFonts w:ascii="Arial" w:cs="Arial" w:eastAsia="Arial" w:hAnsi="Arial"/>
                <w:sz w:val="18"/>
                <w:szCs w:val="18"/>
                <w:b w:val="1"/>
                <w:bCs w:val="1"/>
                <w:color w:val="auto"/>
                <w:w w:val="99"/>
              </w:rPr>
              <w:t>England and Wales</w:t>
            </w:r>
          </w:p>
        </w:tc>
        <w:tc>
          <w:tcPr>
            <w:tcW w:w="4600" w:type="dxa"/>
            <w:vAlign w:val="bottom"/>
          </w:tcPr>
          <w:p>
            <w:pPr>
              <w:jc w:val="center"/>
              <w:ind w:right="22"/>
              <w:spacing w:after="0"/>
              <w:rPr>
                <w:sz w:val="20"/>
                <w:szCs w:val="20"/>
                <w:color w:val="auto"/>
              </w:rPr>
            </w:pPr>
            <w:r>
              <w:rPr>
                <w:rFonts w:ascii="Arial" w:cs="Arial" w:eastAsia="Arial" w:hAnsi="Arial"/>
                <w:sz w:val="18"/>
                <w:szCs w:val="18"/>
                <w:b w:val="1"/>
                <w:bCs w:val="1"/>
                <w:color w:val="auto"/>
                <w:w w:val="99"/>
              </w:rPr>
              <w:t>001-37983</w:t>
            </w:r>
          </w:p>
        </w:tc>
        <w:tc>
          <w:tcPr>
            <w:tcW w:w="2620" w:type="dxa"/>
            <w:vAlign w:val="bottom"/>
          </w:tcPr>
          <w:p>
            <w:pPr>
              <w:jc w:val="right"/>
              <w:ind w:right="539"/>
              <w:spacing w:after="0"/>
              <w:rPr>
                <w:sz w:val="20"/>
                <w:szCs w:val="20"/>
                <w:color w:val="auto"/>
              </w:rPr>
            </w:pPr>
            <w:r>
              <w:rPr>
                <w:rFonts w:ascii="Arial" w:cs="Arial" w:eastAsia="Arial" w:hAnsi="Arial"/>
                <w:sz w:val="18"/>
                <w:szCs w:val="18"/>
                <w:b w:val="1"/>
                <w:bCs w:val="1"/>
                <w:color w:val="auto"/>
              </w:rPr>
              <w:t>98-1283037</w:t>
            </w:r>
          </w:p>
        </w:tc>
      </w:tr>
      <w:tr>
        <w:trPr>
          <w:trHeight w:val="272"/>
        </w:trPr>
        <w:tc>
          <w:tcPr>
            <w:tcW w:w="3000" w:type="dxa"/>
            <w:vAlign w:val="bottom"/>
          </w:tcPr>
          <w:p>
            <w:pPr>
              <w:jc w:val="center"/>
              <w:ind w:right="197"/>
              <w:spacing w:after="0"/>
              <w:rPr>
                <w:sz w:val="20"/>
                <w:szCs w:val="20"/>
                <w:color w:val="auto"/>
              </w:rPr>
            </w:pPr>
            <w:r>
              <w:rPr>
                <w:rFonts w:ascii="Arial" w:cs="Arial" w:eastAsia="Arial" w:hAnsi="Arial"/>
                <w:sz w:val="14"/>
                <w:szCs w:val="14"/>
                <w:color w:val="auto"/>
              </w:rPr>
              <w:t>(State or other jurisdiction of incorporation)</w:t>
            </w:r>
          </w:p>
        </w:tc>
        <w:tc>
          <w:tcPr>
            <w:tcW w:w="4600" w:type="dxa"/>
            <w:vAlign w:val="bottom"/>
          </w:tcPr>
          <w:p>
            <w:pPr>
              <w:jc w:val="center"/>
              <w:ind w:right="22"/>
              <w:spacing w:after="0"/>
              <w:rPr>
                <w:sz w:val="20"/>
                <w:szCs w:val="20"/>
                <w:color w:val="auto"/>
              </w:rPr>
            </w:pPr>
            <w:r>
              <w:rPr>
                <w:rFonts w:ascii="Arial" w:cs="Arial" w:eastAsia="Arial" w:hAnsi="Arial"/>
                <w:sz w:val="14"/>
                <w:szCs w:val="14"/>
                <w:color w:val="auto"/>
              </w:rPr>
              <w:t>(Commission File Number)</w:t>
            </w:r>
          </w:p>
        </w:tc>
        <w:tc>
          <w:tcPr>
            <w:tcW w:w="2620" w:type="dxa"/>
            <w:vAlign w:val="bottom"/>
          </w:tcPr>
          <w:p>
            <w:pPr>
              <w:jc w:val="center"/>
              <w:ind w:left="319"/>
              <w:spacing w:after="0"/>
              <w:rPr>
                <w:sz w:val="20"/>
                <w:szCs w:val="20"/>
                <w:color w:val="auto"/>
              </w:rPr>
            </w:pPr>
            <w:r>
              <w:rPr>
                <w:rFonts w:ascii="Arial" w:cs="Arial" w:eastAsia="Arial" w:hAnsi="Arial"/>
                <w:sz w:val="14"/>
                <w:szCs w:val="14"/>
                <w:color w:val="auto"/>
              </w:rPr>
              <w:t>(I.R.S. Employer Identification No.)</w:t>
            </w:r>
          </w:p>
        </w:tc>
      </w:tr>
      <w:tr>
        <w:trPr>
          <w:trHeight w:val="570"/>
        </w:trPr>
        <w:tc>
          <w:tcPr>
            <w:tcW w:w="3000" w:type="dxa"/>
            <w:vAlign w:val="bottom"/>
          </w:tcPr>
          <w:p>
            <w:pPr>
              <w:jc w:val="center"/>
              <w:ind w:right="197"/>
              <w:spacing w:after="0"/>
              <w:rPr>
                <w:sz w:val="20"/>
                <w:szCs w:val="20"/>
                <w:color w:val="auto"/>
              </w:rPr>
            </w:pPr>
            <w:r>
              <w:rPr>
                <w:rFonts w:ascii="Arial" w:cs="Arial" w:eastAsia="Arial" w:hAnsi="Arial"/>
                <w:sz w:val="18"/>
                <w:szCs w:val="18"/>
                <w:b w:val="1"/>
                <w:bCs w:val="1"/>
                <w:color w:val="auto"/>
              </w:rPr>
              <w:t>One St. Paul’s Churchyard</w:t>
            </w:r>
          </w:p>
        </w:tc>
        <w:tc>
          <w:tcPr>
            <w:tcW w:w="460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239"/>
        </w:trPr>
        <w:tc>
          <w:tcPr>
            <w:tcW w:w="3000" w:type="dxa"/>
            <w:vAlign w:val="bottom"/>
          </w:tcPr>
          <w:p>
            <w:pPr>
              <w:jc w:val="center"/>
              <w:ind w:right="197"/>
              <w:spacing w:after="0"/>
              <w:rPr>
                <w:sz w:val="20"/>
                <w:szCs w:val="20"/>
                <w:color w:val="auto"/>
              </w:rPr>
            </w:pPr>
            <w:r>
              <w:rPr>
                <w:rFonts w:ascii="Arial" w:cs="Arial" w:eastAsia="Arial" w:hAnsi="Arial"/>
                <w:sz w:val="18"/>
                <w:szCs w:val="18"/>
                <w:b w:val="1"/>
                <w:bCs w:val="1"/>
                <w:color w:val="auto"/>
              </w:rPr>
              <w:t>London, United Kingdom</w:t>
            </w:r>
          </w:p>
        </w:tc>
        <w:tc>
          <w:tcPr>
            <w:tcW w:w="4600" w:type="dxa"/>
            <w:vAlign w:val="bottom"/>
          </w:tcPr>
          <w:p>
            <w:pPr>
              <w:spacing w:after="0"/>
              <w:rPr>
                <w:sz w:val="20"/>
                <w:szCs w:val="20"/>
                <w:color w:val="auto"/>
              </w:rPr>
            </w:pPr>
          </w:p>
        </w:tc>
        <w:tc>
          <w:tcPr>
            <w:tcW w:w="2620" w:type="dxa"/>
            <w:vAlign w:val="bottom"/>
          </w:tcPr>
          <w:p>
            <w:pPr>
              <w:jc w:val="center"/>
              <w:ind w:left="319"/>
              <w:spacing w:after="0"/>
              <w:rPr>
                <w:sz w:val="20"/>
                <w:szCs w:val="20"/>
                <w:color w:val="auto"/>
              </w:rPr>
            </w:pPr>
            <w:r>
              <w:rPr>
                <w:rFonts w:ascii="Arial" w:cs="Arial" w:eastAsia="Arial" w:hAnsi="Arial"/>
                <w:sz w:val="18"/>
                <w:szCs w:val="18"/>
                <w:b w:val="1"/>
                <w:bCs w:val="1"/>
                <w:color w:val="auto"/>
                <w:w w:val="99"/>
              </w:rPr>
              <w:t>EC4M 8AP</w:t>
            </w:r>
          </w:p>
        </w:tc>
      </w:tr>
      <w:tr>
        <w:trPr>
          <w:trHeight w:val="272"/>
        </w:trPr>
        <w:tc>
          <w:tcPr>
            <w:tcW w:w="3000" w:type="dxa"/>
            <w:vAlign w:val="bottom"/>
          </w:tcPr>
          <w:p>
            <w:pPr>
              <w:jc w:val="center"/>
              <w:ind w:right="217"/>
              <w:spacing w:after="0"/>
              <w:rPr>
                <w:sz w:val="20"/>
                <w:szCs w:val="20"/>
                <w:color w:val="auto"/>
              </w:rPr>
            </w:pPr>
            <w:r>
              <w:rPr>
                <w:rFonts w:ascii="Arial" w:cs="Arial" w:eastAsia="Arial" w:hAnsi="Arial"/>
                <w:sz w:val="14"/>
                <w:szCs w:val="14"/>
                <w:color w:val="auto"/>
              </w:rPr>
              <w:t>(Address of principal executive offices)</w:t>
            </w:r>
          </w:p>
        </w:tc>
        <w:tc>
          <w:tcPr>
            <w:tcW w:w="4600" w:type="dxa"/>
            <w:vAlign w:val="bottom"/>
          </w:tcPr>
          <w:p>
            <w:pPr>
              <w:spacing w:after="0"/>
              <w:rPr>
                <w:sz w:val="23"/>
                <w:szCs w:val="23"/>
                <w:color w:val="auto"/>
              </w:rPr>
            </w:pPr>
          </w:p>
        </w:tc>
        <w:tc>
          <w:tcPr>
            <w:tcW w:w="2620" w:type="dxa"/>
            <w:vAlign w:val="bottom"/>
          </w:tcPr>
          <w:p>
            <w:pPr>
              <w:jc w:val="center"/>
              <w:ind w:left="339"/>
              <w:spacing w:after="0"/>
              <w:rPr>
                <w:sz w:val="20"/>
                <w:szCs w:val="20"/>
                <w:color w:val="auto"/>
              </w:rPr>
            </w:pPr>
            <w:r>
              <w:rPr>
                <w:rFonts w:ascii="Arial" w:cs="Arial" w:eastAsia="Arial" w:hAnsi="Arial"/>
                <w:sz w:val="14"/>
                <w:szCs w:val="14"/>
                <w:color w:val="auto"/>
              </w:rPr>
              <w:t>(Zip Code)</w:t>
            </w:r>
          </w:p>
        </w:tc>
      </w:tr>
      <w:tr>
        <w:trPr>
          <w:trHeight w:val="297"/>
        </w:trPr>
        <w:tc>
          <w:tcPr>
            <w:tcW w:w="3000" w:type="dxa"/>
            <w:vAlign w:val="bottom"/>
          </w:tcPr>
          <w:p>
            <w:pPr>
              <w:spacing w:after="0"/>
              <w:rPr>
                <w:sz w:val="24"/>
                <w:szCs w:val="24"/>
                <w:color w:val="auto"/>
              </w:rPr>
            </w:pPr>
          </w:p>
        </w:tc>
        <w:tc>
          <w:tcPr>
            <w:tcW w:w="4600" w:type="dxa"/>
            <w:vAlign w:val="bottom"/>
          </w:tcPr>
          <w:p>
            <w:pPr>
              <w:jc w:val="center"/>
              <w:ind w:right="62"/>
              <w:spacing w:after="0"/>
              <w:rPr>
                <w:sz w:val="20"/>
                <w:szCs w:val="20"/>
                <w:color w:val="auto"/>
              </w:rPr>
            </w:pPr>
            <w:r>
              <w:rPr>
                <w:rFonts w:ascii="Arial" w:cs="Arial" w:eastAsia="Arial" w:hAnsi="Arial"/>
                <w:sz w:val="14"/>
                <w:szCs w:val="14"/>
                <w:b w:val="1"/>
                <w:bCs w:val="1"/>
                <w:color w:val="auto"/>
              </w:rPr>
              <w:t>+44 203-429-3950</w:t>
            </w:r>
          </w:p>
        </w:tc>
        <w:tc>
          <w:tcPr>
            <w:tcW w:w="2620" w:type="dxa"/>
            <w:vAlign w:val="bottom"/>
          </w:tcPr>
          <w:p>
            <w:pPr>
              <w:spacing w:after="0"/>
              <w:rPr>
                <w:sz w:val="24"/>
                <w:szCs w:val="24"/>
                <w:color w:val="auto"/>
              </w:rPr>
            </w:pPr>
          </w:p>
        </w:tc>
      </w:tr>
      <w:tr>
        <w:trPr>
          <w:trHeight w:val="203"/>
        </w:trPr>
        <w:tc>
          <w:tcPr>
            <w:tcW w:w="3000" w:type="dxa"/>
            <w:vAlign w:val="bottom"/>
          </w:tcPr>
          <w:p>
            <w:pPr>
              <w:spacing w:after="0"/>
              <w:rPr>
                <w:sz w:val="17"/>
                <w:szCs w:val="17"/>
                <w:color w:val="auto"/>
              </w:rPr>
            </w:pPr>
          </w:p>
        </w:tc>
        <w:tc>
          <w:tcPr>
            <w:tcW w:w="4600" w:type="dxa"/>
            <w:vAlign w:val="bottom"/>
          </w:tcPr>
          <w:p>
            <w:pPr>
              <w:jc w:val="center"/>
              <w:ind w:right="62"/>
              <w:spacing w:after="0"/>
              <w:rPr>
                <w:sz w:val="20"/>
                <w:szCs w:val="20"/>
                <w:color w:val="auto"/>
              </w:rPr>
            </w:pPr>
            <w:r>
              <w:rPr>
                <w:rFonts w:ascii="Arial" w:cs="Arial" w:eastAsia="Arial" w:hAnsi="Arial"/>
                <w:sz w:val="14"/>
                <w:szCs w:val="14"/>
                <w:color w:val="auto"/>
              </w:rPr>
              <w:t>(Registrant's telephone number, including area code)</w:t>
            </w:r>
          </w:p>
        </w:tc>
        <w:tc>
          <w:tcPr>
            <w:tcW w:w="2620" w:type="dxa"/>
            <w:vAlign w:val="bottom"/>
          </w:tcPr>
          <w:p>
            <w:pPr>
              <w:spacing w:after="0"/>
              <w:rPr>
                <w:sz w:val="17"/>
                <w:szCs w:val="17"/>
                <w:color w:val="auto"/>
              </w:rPr>
            </w:pPr>
          </w:p>
        </w:tc>
      </w:tr>
      <w:tr>
        <w:trPr>
          <w:trHeight w:val="363"/>
        </w:trPr>
        <w:tc>
          <w:tcPr>
            <w:tcW w:w="3000" w:type="dxa"/>
            <w:vAlign w:val="bottom"/>
          </w:tcPr>
          <w:p>
            <w:pPr>
              <w:spacing w:after="0"/>
              <w:rPr>
                <w:sz w:val="24"/>
                <w:szCs w:val="24"/>
                <w:color w:val="auto"/>
              </w:rPr>
            </w:pPr>
          </w:p>
        </w:tc>
        <w:tc>
          <w:tcPr>
            <w:tcW w:w="4600" w:type="dxa"/>
            <w:vAlign w:val="bottom"/>
          </w:tcPr>
          <w:p>
            <w:pPr>
              <w:jc w:val="center"/>
              <w:ind w:right="62"/>
              <w:spacing w:after="0"/>
              <w:rPr>
                <w:sz w:val="20"/>
                <w:szCs w:val="20"/>
                <w:color w:val="auto"/>
              </w:rPr>
            </w:pPr>
            <w:r>
              <w:rPr>
                <w:rFonts w:ascii="Arial" w:cs="Arial" w:eastAsia="Arial" w:hAnsi="Arial"/>
                <w:sz w:val="18"/>
                <w:szCs w:val="18"/>
                <w:b w:val="1"/>
                <w:bCs w:val="1"/>
                <w:color w:val="auto"/>
                <w:w w:val="99"/>
              </w:rPr>
              <w:t>Not Applicable</w:t>
            </w:r>
          </w:p>
        </w:tc>
        <w:tc>
          <w:tcPr>
            <w:tcW w:w="2620" w:type="dxa"/>
            <w:vAlign w:val="bottom"/>
          </w:tcPr>
          <w:p>
            <w:pPr>
              <w:spacing w:after="0"/>
              <w:rPr>
                <w:sz w:val="24"/>
                <w:szCs w:val="24"/>
                <w:color w:val="auto"/>
              </w:rPr>
            </w:pPr>
          </w:p>
        </w:tc>
      </w:tr>
      <w:tr>
        <w:trPr>
          <w:trHeight w:val="177"/>
        </w:trPr>
        <w:tc>
          <w:tcPr>
            <w:tcW w:w="3000" w:type="dxa"/>
            <w:vAlign w:val="bottom"/>
          </w:tcPr>
          <w:p>
            <w:pPr>
              <w:spacing w:after="0"/>
              <w:rPr>
                <w:sz w:val="15"/>
                <w:szCs w:val="15"/>
                <w:color w:val="auto"/>
              </w:rPr>
            </w:pPr>
          </w:p>
        </w:tc>
        <w:tc>
          <w:tcPr>
            <w:tcW w:w="4600" w:type="dxa"/>
            <w:vAlign w:val="bottom"/>
          </w:tcPr>
          <w:p>
            <w:pPr>
              <w:jc w:val="center"/>
              <w:ind w:right="62"/>
              <w:spacing w:after="0"/>
              <w:rPr>
                <w:sz w:val="20"/>
                <w:szCs w:val="20"/>
                <w:color w:val="auto"/>
              </w:rPr>
            </w:pPr>
            <w:r>
              <w:rPr>
                <w:rFonts w:ascii="Arial" w:cs="Arial" w:eastAsia="Arial" w:hAnsi="Arial"/>
                <w:sz w:val="14"/>
                <w:szCs w:val="14"/>
                <w:color w:val="auto"/>
              </w:rPr>
              <w:t>(Former name or former address, if changed since last report)</w:t>
            </w:r>
          </w:p>
        </w:tc>
        <w:tc>
          <w:tcPr>
            <w:tcW w:w="2620" w:type="dxa"/>
            <w:vAlign w:val="bottom"/>
          </w:tcPr>
          <w:p>
            <w:pPr>
              <w:spacing w:after="0"/>
              <w:rPr>
                <w:sz w:val="15"/>
                <w:szCs w:val="15"/>
                <w:color w:val="auto"/>
              </w:rPr>
            </w:pPr>
          </w:p>
        </w:tc>
      </w:tr>
    </w:tbl>
    <w:p>
      <w:pPr>
        <w:spacing w:after="0" w:line="200"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320"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70" w:right="2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7"/>
          <w:szCs w:val="17"/>
          <w:b w:val="1"/>
          <w:bCs w:val="1"/>
          <w:color w:val="auto"/>
        </w:rPr>
        <w:t>Results of Operations and Financial Condition</w:t>
      </w:r>
    </w:p>
    <w:p>
      <w:pPr>
        <w:spacing w:after="0" w:line="24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On October 24, 2018, TechnipFMC plc ("TechnipFMC") issued a news release announcing its financial results for the fiscal quarter ended September 30, 2018. A copy of the news release is furnished as Exhibit 99.1 to this report and is incorporated herein by reference.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30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413"/>
        </w:trPr>
        <w:tc>
          <w:tcPr>
            <w:tcW w:w="1300" w:type="dxa"/>
            <w:vAlign w:val="bottom"/>
            <w:gridSpan w:val="2"/>
          </w:tcPr>
          <w:p>
            <w:pPr>
              <w:spacing w:after="0"/>
              <w:rPr>
                <w:sz w:val="20"/>
                <w:szCs w:val="20"/>
                <w:color w:val="auto"/>
              </w:rPr>
            </w:pPr>
            <w:r>
              <w:rPr>
                <w:rFonts w:ascii="Arial" w:cs="Arial" w:eastAsia="Arial" w:hAnsi="Arial"/>
                <w:sz w:val="16"/>
                <w:szCs w:val="16"/>
                <w:color w:val="auto"/>
              </w:rPr>
              <w:t>(d) Exhibits</w:t>
            </w:r>
          </w:p>
        </w:tc>
        <w:tc>
          <w:tcPr>
            <w:tcW w:w="820" w:type="dxa"/>
            <w:vAlign w:val="bottom"/>
          </w:tcPr>
          <w:p>
            <w:pPr>
              <w:spacing w:after="0"/>
              <w:rPr>
                <w:sz w:val="24"/>
                <w:szCs w:val="24"/>
                <w:color w:val="auto"/>
              </w:rPr>
            </w:pPr>
          </w:p>
        </w:tc>
        <w:tc>
          <w:tcPr>
            <w:tcW w:w="4160" w:type="dxa"/>
            <w:vAlign w:val="bottom"/>
          </w:tcPr>
          <w:p>
            <w:pPr>
              <w:spacing w:after="0"/>
              <w:rPr>
                <w:sz w:val="24"/>
                <w:szCs w:val="24"/>
                <w:color w:val="auto"/>
              </w:rPr>
            </w:pPr>
          </w:p>
        </w:tc>
      </w:tr>
      <w:tr>
        <w:trPr>
          <w:trHeight w:val="344"/>
        </w:trPr>
        <w:tc>
          <w:tcPr>
            <w:tcW w:w="8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Exhibit No.</w:t>
            </w:r>
          </w:p>
        </w:tc>
        <w:tc>
          <w:tcPr>
            <w:tcW w:w="500" w:type="dxa"/>
            <w:vAlign w:val="bottom"/>
          </w:tcPr>
          <w:p>
            <w:pPr>
              <w:spacing w:after="0"/>
              <w:rPr>
                <w:sz w:val="24"/>
                <w:szCs w:val="24"/>
                <w:color w:val="auto"/>
              </w:rPr>
            </w:pPr>
          </w:p>
        </w:tc>
        <w:tc>
          <w:tcPr>
            <w:tcW w:w="82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9"/>
              </w:rPr>
              <w:t>Description</w:t>
            </w:r>
          </w:p>
        </w:tc>
        <w:tc>
          <w:tcPr>
            <w:tcW w:w="4160" w:type="dxa"/>
            <w:vAlign w:val="bottom"/>
          </w:tcPr>
          <w:p>
            <w:pPr>
              <w:spacing w:after="0"/>
              <w:rPr>
                <w:sz w:val="24"/>
                <w:szCs w:val="24"/>
                <w:color w:val="auto"/>
              </w:rPr>
            </w:pPr>
          </w:p>
        </w:tc>
      </w:tr>
      <w:tr>
        <w:trPr>
          <w:trHeight w:val="439"/>
        </w:trPr>
        <w:tc>
          <w:tcPr>
            <w:tcW w:w="800" w:type="dxa"/>
            <w:vAlign w:val="bottom"/>
          </w:tcPr>
          <w:p>
            <w:pPr>
              <w:spacing w:after="0"/>
              <w:rPr>
                <w:sz w:val="20"/>
                <w:szCs w:val="20"/>
                <w:color w:val="auto"/>
              </w:rPr>
            </w:pPr>
            <w:r>
              <w:rPr>
                <w:rFonts w:ascii="Arial" w:cs="Arial" w:eastAsia="Arial" w:hAnsi="Arial"/>
                <w:sz w:val="18"/>
                <w:szCs w:val="18"/>
                <w:color w:val="auto"/>
              </w:rPr>
              <w:t>99.1</w:t>
            </w:r>
          </w:p>
        </w:tc>
        <w:tc>
          <w:tcPr>
            <w:tcW w:w="50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w w:val="99"/>
              </w:rPr>
              <w:t>News Release issued by TechnipFMC dated October 24, 2018</w:t>
            </w:r>
          </w:p>
        </w:tc>
      </w:tr>
    </w:tbl>
    <w:p>
      <w:pPr>
        <w:sectPr>
          <w:pgSz w:w="11900" w:h="16838" w:orient="portrait"/>
          <w:cols w:equalWidth="0" w:num="1">
            <w:col w:w="11420"/>
          </w:cols>
          <w:pgMar w:left="240" w:top="576"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40" w:type="dxa"/>
            <w:vAlign w:val="bottom"/>
          </w:tcPr>
          <w:p>
            <w:pPr>
              <w:ind w:left="2940"/>
              <w:spacing w:after="0"/>
              <w:rPr>
                <w:sz w:val="20"/>
                <w:szCs w:val="20"/>
                <w:color w:val="auto"/>
              </w:rPr>
            </w:pPr>
            <w:r>
              <w:rPr>
                <w:rFonts w:ascii="Arial" w:cs="Arial" w:eastAsia="Arial" w:hAnsi="Arial"/>
                <w:sz w:val="18"/>
                <w:szCs w:val="18"/>
                <w:b w:val="1"/>
                <w:bCs w:val="1"/>
                <w:color w:val="auto"/>
              </w:rPr>
              <w:t>EXHIBIT INDEX</w:t>
            </w:r>
          </w:p>
        </w:tc>
      </w:tr>
      <w:tr>
        <w:trPr>
          <w:trHeight w:val="378"/>
        </w:trPr>
        <w:tc>
          <w:tcPr>
            <w:tcW w:w="8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Exhibit No.</w:t>
            </w:r>
          </w:p>
        </w:tc>
        <w:tc>
          <w:tcPr>
            <w:tcW w:w="500" w:type="dxa"/>
            <w:vAlign w:val="bottom"/>
          </w:tcPr>
          <w:p>
            <w:pPr>
              <w:spacing w:after="0"/>
              <w:rPr>
                <w:sz w:val="24"/>
                <w:szCs w:val="24"/>
                <w:color w:val="auto"/>
              </w:rPr>
            </w:pPr>
          </w:p>
        </w:tc>
        <w:tc>
          <w:tcPr>
            <w:tcW w:w="82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9"/>
              </w:rPr>
              <w:t>Description</w:t>
            </w:r>
          </w:p>
        </w:tc>
        <w:tc>
          <w:tcPr>
            <w:tcW w:w="4440" w:type="dxa"/>
            <w:vAlign w:val="bottom"/>
          </w:tcPr>
          <w:p>
            <w:pPr>
              <w:spacing w:after="0"/>
              <w:rPr>
                <w:sz w:val="24"/>
                <w:szCs w:val="24"/>
                <w:color w:val="auto"/>
              </w:rPr>
            </w:pPr>
          </w:p>
        </w:tc>
      </w:tr>
      <w:tr>
        <w:trPr>
          <w:trHeight w:val="399"/>
        </w:trPr>
        <w:tc>
          <w:tcPr>
            <w:tcW w:w="800" w:type="dxa"/>
            <w:vAlign w:val="bottom"/>
          </w:tcPr>
          <w:p>
            <w:pPr>
              <w:spacing w:after="0"/>
              <w:rPr>
                <w:sz w:val="20"/>
                <w:szCs w:val="20"/>
                <w:color w:val="auto"/>
              </w:rPr>
            </w:pPr>
            <w:r>
              <w:rPr>
                <w:rFonts w:ascii="Arial" w:cs="Arial" w:eastAsia="Arial" w:hAnsi="Arial"/>
                <w:sz w:val="18"/>
                <w:szCs w:val="18"/>
                <w:color w:val="auto"/>
              </w:rPr>
              <w:t>99.1</w:t>
            </w:r>
          </w:p>
        </w:tc>
        <w:tc>
          <w:tcPr>
            <w:tcW w:w="500" w:type="dxa"/>
            <w:vAlign w:val="bottom"/>
          </w:tcPr>
          <w:p>
            <w:pPr>
              <w:spacing w:after="0"/>
              <w:rPr>
                <w:sz w:val="24"/>
                <w:szCs w:val="24"/>
                <w:color w:val="auto"/>
              </w:rPr>
            </w:pPr>
          </w:p>
        </w:tc>
        <w:tc>
          <w:tcPr>
            <w:tcW w:w="5260" w:type="dxa"/>
            <w:vAlign w:val="bottom"/>
            <w:tcBorders>
              <w:bottom w:val="single" w:sz="8" w:color="0000FF"/>
            </w:tcBorders>
            <w:gridSpan w:val="2"/>
          </w:tcPr>
          <w:p>
            <w:pP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News Release issued by TechnipFMC plc dated October 24, 2018</w:t>
              </w:r>
            </w:hyperlink>
          </w:p>
        </w:tc>
      </w:tr>
    </w:tbl>
    <w:p>
      <w:pPr>
        <w:sectPr>
          <w:pgSz w:w="11900" w:h="16838" w:orient="portrait"/>
          <w:cols w:equalWidth="0" w:num="1">
            <w:col w:w="10219"/>
          </w:cols>
          <w:pgMar w:left="240" w:top="576" w:right="1440"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66"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TechnipFMC plc</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By: /s/ Maryann T. Mannen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2080260</wp:posOffset>
            </wp:positionH>
            <wp:positionV relativeFrom="paragraph">
              <wp:posOffset>14605</wp:posOffset>
            </wp:positionV>
            <wp:extent cx="33534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43" w:lineRule="exact"/>
        <w:rPr>
          <w:sz w:val="20"/>
          <w:szCs w:val="20"/>
          <w:color w:val="auto"/>
        </w:rPr>
      </w:pPr>
    </w:p>
    <w:p>
      <w:pPr>
        <w:ind w:left="40"/>
        <w:spacing w:after="0"/>
        <w:tabs>
          <w:tab w:leader="none" w:pos="3280" w:val="left"/>
        </w:tabs>
        <w:rPr>
          <w:sz w:val="20"/>
          <w:szCs w:val="20"/>
          <w:color w:val="auto"/>
        </w:rPr>
      </w:pPr>
      <w:r>
        <w:rPr>
          <w:rFonts w:ascii="Arial" w:cs="Arial" w:eastAsia="Arial" w:hAnsi="Arial"/>
          <w:sz w:val="18"/>
          <w:szCs w:val="18"/>
          <w:color w:val="auto"/>
        </w:rPr>
        <w:t>Dated:  October 24, 2018</w:t>
      </w:r>
      <w:r>
        <w:rPr>
          <w:sz w:val="20"/>
          <w:szCs w:val="20"/>
          <w:color w:val="auto"/>
        </w:rPr>
        <w:tab/>
      </w:r>
      <w:r>
        <w:rPr>
          <w:rFonts w:ascii="Arial" w:cs="Arial" w:eastAsia="Arial" w:hAnsi="Arial"/>
          <w:sz w:val="17"/>
          <w:szCs w:val="17"/>
          <w:color w:val="auto"/>
        </w:rPr>
        <w:t>Name: Maryann T. Mannen</w:t>
      </w:r>
    </w:p>
    <w:p>
      <w:pPr>
        <w:spacing w:after="0" w:line="63"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Title: Executive Vice President and Chief Financial Officer</w:t>
      </w:r>
    </w:p>
    <w:p>
      <w:pPr>
        <w:sectPr>
          <w:pgSz w:w="11900" w:h="16838" w:orient="portrait"/>
          <w:cols w:equalWidth="0" w:num="1">
            <w:col w:w="11400"/>
          </w:cols>
          <w:pgMar w:left="240" w:top="576" w:right="259" w:bottom="1440" w:gutter="0" w:footer="0" w:header="0"/>
        </w:sectPr>
      </w:pPr>
    </w:p>
    <w:bookmarkStart w:id="4" w:name="page5"/>
    <w:bookmarkEnd w:id="4"/>
    <w:p>
      <w:pPr>
        <w:spacing w:after="0"/>
        <w:rPr>
          <w:sz w:val="20"/>
          <w:szCs w:val="20"/>
          <w:color w:val="auto"/>
        </w:rPr>
      </w:pPr>
      <w:r>
        <w:rPr>
          <w:rFonts w:ascii="Arial" w:cs="Arial" w:eastAsia="Arial" w:hAnsi="Arial"/>
          <w:sz w:val="25"/>
          <w:szCs w:val="25"/>
          <w:color w:val="A6A6A6"/>
        </w:rPr>
        <w:drawing>
          <wp:anchor simplePos="0" relativeHeight="251657728" behindDoc="1" locked="0" layoutInCell="0" allowOverlap="1">
            <wp:simplePos x="0" y="0"/>
            <wp:positionH relativeFrom="page">
              <wp:posOffset>157480</wp:posOffset>
            </wp:positionH>
            <wp:positionV relativeFrom="page">
              <wp:posOffset>88900</wp:posOffset>
            </wp:positionV>
            <wp:extent cx="2641600" cy="523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641600" cy="523240"/>
                    </a:xfrm>
                    <a:prstGeom prst="rect">
                      <a:avLst/>
                    </a:prstGeom>
                    <a:noFill/>
                  </pic:spPr>
                </pic:pic>
              </a:graphicData>
            </a:graphic>
          </wp:anchor>
        </w:drawing>
        <w:t>Press Release</w:t>
      </w:r>
    </w:p>
    <w:p>
      <w:pPr>
        <w:spacing w:after="0" w:line="166" w:lineRule="exact"/>
        <w:rPr>
          <w:sz w:val="20"/>
          <w:szCs w:val="20"/>
          <w:color w:val="auto"/>
        </w:rPr>
      </w:pPr>
    </w:p>
    <w:p>
      <w:pPr>
        <w:spacing w:after="0"/>
        <w:rPr>
          <w:sz w:val="20"/>
          <w:szCs w:val="20"/>
          <w:color w:val="auto"/>
        </w:rPr>
      </w:pPr>
      <w:r>
        <w:rPr>
          <w:rFonts w:ascii="Arial" w:cs="Arial" w:eastAsia="Arial" w:hAnsi="Arial"/>
          <w:sz w:val="29"/>
          <w:szCs w:val="29"/>
          <w:color w:val="auto"/>
        </w:rPr>
        <w:t>TechnipFMC Announces Third Quarter 2018 Results</w:t>
      </w:r>
    </w:p>
    <w:p>
      <w:pPr>
        <w:spacing w:after="0" w:line="143" w:lineRule="exact"/>
        <w:rPr>
          <w:sz w:val="20"/>
          <w:szCs w:val="20"/>
          <w:color w:val="auto"/>
        </w:rPr>
      </w:pPr>
    </w:p>
    <w:p>
      <w:pPr>
        <w:ind w:left="660" w:hanging="328"/>
        <w:spacing w:after="0"/>
        <w:tabs>
          <w:tab w:leader="none" w:pos="660" w:val="left"/>
        </w:tabs>
        <w:numPr>
          <w:ilvl w:val="0"/>
          <w:numId w:val="1"/>
        </w:numPr>
        <w:rPr>
          <w:rFonts w:ascii="Arial" w:cs="Arial" w:eastAsia="Arial" w:hAnsi="Arial"/>
          <w:sz w:val="20"/>
          <w:szCs w:val="20"/>
          <w:color w:val="auto"/>
        </w:rPr>
      </w:pPr>
      <w:r>
        <w:rPr>
          <w:rFonts w:ascii="Arial" w:cs="Arial" w:eastAsia="Arial" w:hAnsi="Arial"/>
          <w:sz w:val="20"/>
          <w:szCs w:val="20"/>
          <w:b w:val="1"/>
          <w:bCs w:val="1"/>
          <w:color w:val="auto"/>
        </w:rPr>
        <w:t>Net income of $136.9 million and adjusted EBITDA of $430.5 million</w:t>
      </w:r>
    </w:p>
    <w:p>
      <w:pPr>
        <w:spacing w:after="0" w:line="53" w:lineRule="exact"/>
        <w:rPr>
          <w:rFonts w:ascii="Arial" w:cs="Arial" w:eastAsia="Arial" w:hAnsi="Arial"/>
          <w:sz w:val="20"/>
          <w:szCs w:val="20"/>
          <w:color w:val="auto"/>
        </w:rPr>
      </w:pPr>
    </w:p>
    <w:p>
      <w:pPr>
        <w:ind w:left="660" w:hanging="328"/>
        <w:spacing w:after="0"/>
        <w:tabs>
          <w:tab w:leader="none" w:pos="660" w:val="left"/>
        </w:tabs>
        <w:numPr>
          <w:ilvl w:val="0"/>
          <w:numId w:val="1"/>
        </w:numPr>
        <w:rPr>
          <w:rFonts w:ascii="Arial" w:cs="Arial" w:eastAsia="Arial" w:hAnsi="Arial"/>
          <w:sz w:val="20"/>
          <w:szCs w:val="20"/>
          <w:color w:val="auto"/>
        </w:rPr>
      </w:pPr>
      <w:r>
        <w:rPr>
          <w:rFonts w:ascii="Arial" w:cs="Arial" w:eastAsia="Arial" w:hAnsi="Arial"/>
          <w:sz w:val="20"/>
          <w:szCs w:val="20"/>
          <w:b w:val="1"/>
          <w:bCs w:val="1"/>
          <w:color w:val="auto"/>
        </w:rPr>
        <w:t>Inbound orders of $3.6 billion; Subsea orders exceeded revenue for the fourth consecutive quarter</w:t>
      </w:r>
    </w:p>
    <w:p>
      <w:pPr>
        <w:spacing w:after="0" w:line="53" w:lineRule="exact"/>
        <w:rPr>
          <w:rFonts w:ascii="Arial" w:cs="Arial" w:eastAsia="Arial" w:hAnsi="Arial"/>
          <w:sz w:val="20"/>
          <w:szCs w:val="20"/>
          <w:color w:val="auto"/>
        </w:rPr>
      </w:pPr>
    </w:p>
    <w:p>
      <w:pPr>
        <w:ind w:left="660" w:hanging="328"/>
        <w:spacing w:after="0"/>
        <w:tabs>
          <w:tab w:leader="none" w:pos="660" w:val="left"/>
        </w:tabs>
        <w:numPr>
          <w:ilvl w:val="0"/>
          <w:numId w:val="1"/>
        </w:numPr>
        <w:rPr>
          <w:rFonts w:ascii="Arial" w:cs="Arial" w:eastAsia="Arial" w:hAnsi="Arial"/>
          <w:sz w:val="20"/>
          <w:szCs w:val="20"/>
          <w:color w:val="auto"/>
        </w:rPr>
      </w:pPr>
      <w:r>
        <w:rPr>
          <w:rFonts w:ascii="Arial" w:cs="Arial" w:eastAsia="Arial" w:hAnsi="Arial"/>
          <w:sz w:val="20"/>
          <w:szCs w:val="20"/>
          <w:b w:val="1"/>
          <w:bCs w:val="1"/>
          <w:color w:val="auto"/>
        </w:rPr>
        <w:t>Backlog increased year-over-year in all segments</w:t>
      </w:r>
    </w:p>
    <w:p>
      <w:pPr>
        <w:spacing w:after="0" w:line="53" w:lineRule="exact"/>
        <w:rPr>
          <w:rFonts w:ascii="Arial" w:cs="Arial" w:eastAsia="Arial" w:hAnsi="Arial"/>
          <w:sz w:val="20"/>
          <w:szCs w:val="20"/>
          <w:color w:val="auto"/>
        </w:rPr>
      </w:pPr>
    </w:p>
    <w:p>
      <w:pPr>
        <w:ind w:left="660" w:hanging="328"/>
        <w:spacing w:after="0" w:line="272" w:lineRule="auto"/>
        <w:tabs>
          <w:tab w:leader="none" w:pos="660" w:val="left"/>
        </w:tabs>
        <w:numPr>
          <w:ilvl w:val="0"/>
          <w:numId w:val="1"/>
        </w:numPr>
        <w:rPr>
          <w:rFonts w:ascii="Arial" w:cs="Arial" w:eastAsia="Arial" w:hAnsi="Arial"/>
          <w:sz w:val="20"/>
          <w:szCs w:val="20"/>
          <w:color w:val="auto"/>
        </w:rPr>
      </w:pPr>
      <w:r>
        <w:rPr>
          <w:rFonts w:ascii="Arial" w:cs="Arial" w:eastAsia="Arial" w:hAnsi="Arial"/>
          <w:sz w:val="20"/>
          <w:szCs w:val="20"/>
          <w:b w:val="1"/>
          <w:bCs w:val="1"/>
          <w:color w:val="auto"/>
        </w:rPr>
        <w:t>Updated 2018 guidance reflects strong execution in Onshore/Offshore and revised market outlook for Surface Technologies</w:t>
      </w:r>
    </w:p>
    <w:p>
      <w:pPr>
        <w:spacing w:after="0" w:line="100" w:lineRule="exact"/>
        <w:rPr>
          <w:sz w:val="20"/>
          <w:szCs w:val="20"/>
          <w:color w:val="auto"/>
        </w:rPr>
      </w:pPr>
    </w:p>
    <w:p>
      <w:pPr>
        <w:spacing w:after="0" w:line="272" w:lineRule="auto"/>
        <w:rPr>
          <w:sz w:val="20"/>
          <w:szCs w:val="20"/>
          <w:color w:val="auto"/>
        </w:rPr>
      </w:pPr>
      <w:r>
        <w:rPr>
          <w:rFonts w:ascii="Arial" w:cs="Arial" w:eastAsia="Arial" w:hAnsi="Arial"/>
          <w:sz w:val="20"/>
          <w:szCs w:val="20"/>
          <w:b w:val="1"/>
          <w:bCs w:val="1"/>
          <w:color w:val="auto"/>
        </w:rPr>
        <w:t xml:space="preserve">LONDON, PARIS, HOUSTON, October 24, 2018 - </w:t>
      </w:r>
      <w:r>
        <w:rPr>
          <w:rFonts w:ascii="Arial" w:cs="Arial" w:eastAsia="Arial" w:hAnsi="Arial"/>
          <w:sz w:val="20"/>
          <w:szCs w:val="20"/>
          <w:color w:val="auto"/>
        </w:rPr>
        <w:t>TechnipFMC plc (NYSE: FTI) (Paris: FTI) today reported third quarter 2018</w:t>
      </w:r>
      <w:r>
        <w:rPr>
          <w:rFonts w:ascii="Arial" w:cs="Arial" w:eastAsia="Arial" w:hAnsi="Arial"/>
          <w:sz w:val="20"/>
          <w:szCs w:val="20"/>
          <w:b w:val="1"/>
          <w:bCs w:val="1"/>
          <w:color w:val="auto"/>
        </w:rPr>
        <w:t xml:space="preserve"> </w:t>
      </w:r>
      <w:r>
        <w:rPr>
          <w:rFonts w:ascii="Arial" w:cs="Arial" w:eastAsia="Arial" w:hAnsi="Arial"/>
          <w:sz w:val="20"/>
          <w:szCs w:val="20"/>
          <w:color w:val="auto"/>
        </w:rPr>
        <w:t>results.</w:t>
      </w:r>
    </w:p>
    <w:p>
      <w:pPr>
        <w:spacing w:after="0" w:line="124" w:lineRule="exact"/>
        <w:rPr>
          <w:sz w:val="20"/>
          <w:szCs w:val="20"/>
          <w:color w:val="auto"/>
        </w:rPr>
      </w:pPr>
    </w:p>
    <w:p>
      <w:pPr>
        <w:spacing w:after="0" w:line="247" w:lineRule="auto"/>
        <w:rPr>
          <w:sz w:val="20"/>
          <w:szCs w:val="20"/>
          <w:color w:val="auto"/>
        </w:rPr>
      </w:pPr>
      <w:r>
        <w:rPr>
          <w:rFonts w:ascii="Arial" w:cs="Arial" w:eastAsia="Arial" w:hAnsi="Arial"/>
          <w:sz w:val="20"/>
          <w:szCs w:val="20"/>
          <w:color w:val="auto"/>
        </w:rPr>
        <w:t>Total Company revenue was $3,143.8 million. Net income was $136.9 million, or $0.30 per diluted share. These results included after-tax charges and credits of $2.9 million, or $0.01 per diluted share; adjusted diluted earnings per share were $0.31.</w:t>
      </w:r>
    </w:p>
    <w:p>
      <w:pPr>
        <w:spacing w:after="0" w:line="148" w:lineRule="exact"/>
        <w:rPr>
          <w:sz w:val="20"/>
          <w:szCs w:val="20"/>
          <w:color w:val="auto"/>
        </w:rPr>
      </w:pPr>
    </w:p>
    <w:p>
      <w:pPr>
        <w:spacing w:after="0" w:line="247" w:lineRule="auto"/>
        <w:rPr>
          <w:sz w:val="20"/>
          <w:szCs w:val="20"/>
          <w:color w:val="auto"/>
        </w:rPr>
      </w:pPr>
      <w:r>
        <w:rPr>
          <w:rFonts w:ascii="Arial" w:cs="Arial" w:eastAsia="Arial" w:hAnsi="Arial"/>
          <w:sz w:val="20"/>
          <w:szCs w:val="20"/>
          <w:color w:val="auto"/>
        </w:rPr>
        <w:t>Adjusted EBITDA, which excludes charges and credits, was $430.5 million; adjusted EBITDA margin was 13.7 percent. After-tax charges and credits are detailed in the financial schedules.</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Other significant pre-tax items impacting the quarter, for which we do not provide guidance, included the following:</w:t>
      </w:r>
    </w:p>
    <w:p>
      <w:pPr>
        <w:spacing w:after="0" w:line="162" w:lineRule="exact"/>
        <w:rPr>
          <w:sz w:val="20"/>
          <w:szCs w:val="20"/>
          <w:color w:val="auto"/>
        </w:rPr>
      </w:pPr>
    </w:p>
    <w:p>
      <w:pPr>
        <w:ind w:left="660" w:hanging="328"/>
        <w:spacing w:after="0"/>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color w:val="auto"/>
        </w:rPr>
        <w:t>$34.4 million, or $0.05 per diluted share, of foreign exchange losses included in corporate expense; and</w:t>
      </w:r>
    </w:p>
    <w:p>
      <w:pPr>
        <w:spacing w:after="0" w:line="161" w:lineRule="exact"/>
        <w:rPr>
          <w:rFonts w:ascii="Arial" w:cs="Arial" w:eastAsia="Arial" w:hAnsi="Arial"/>
          <w:sz w:val="20"/>
          <w:szCs w:val="20"/>
          <w:color w:val="auto"/>
        </w:rPr>
      </w:pPr>
    </w:p>
    <w:p>
      <w:pPr>
        <w:ind w:left="660" w:hanging="328"/>
        <w:spacing w:after="0"/>
        <w:tabs>
          <w:tab w:leader="none" w:pos="660" w:val="left"/>
        </w:tabs>
        <w:numPr>
          <w:ilvl w:val="0"/>
          <w:numId w:val="2"/>
        </w:numPr>
        <w:rPr>
          <w:rFonts w:ascii="Arial" w:cs="Arial" w:eastAsia="Arial" w:hAnsi="Arial"/>
          <w:sz w:val="19"/>
          <w:szCs w:val="19"/>
          <w:color w:val="auto"/>
        </w:rPr>
      </w:pPr>
      <w:r>
        <w:rPr>
          <w:rFonts w:ascii="Arial" w:cs="Arial" w:eastAsia="Arial" w:hAnsi="Arial"/>
          <w:sz w:val="19"/>
          <w:szCs w:val="19"/>
          <w:color w:val="auto"/>
        </w:rPr>
        <w:t>$93.2 million, or $0.20 per diluted share, of increased liability payable to joint venture partners included in interest expense.</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Summary Financial Statements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of U.S. GAAP to non-GAAP financial measures are detailed below and in the financial schedules.</w:t>
      </w:r>
    </w:p>
    <w:p>
      <w:pPr>
        <w:spacing w:after="0" w:line="287"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5960" w:type="dxa"/>
            <w:vAlign w:val="bottom"/>
            <w:tcBorders>
              <w:top w:val="single" w:sz="8" w:color="BFE4FF"/>
              <w:left w:val="single" w:sz="8" w:color="BFE4FF"/>
              <w:right w:val="single" w:sz="8" w:color="BFE4FF"/>
            </w:tcBorders>
          </w:tcPr>
          <w:p>
            <w:pPr>
              <w:spacing w:after="0"/>
              <w:rPr>
                <w:sz w:val="18"/>
                <w:szCs w:val="18"/>
                <w:color w:val="auto"/>
              </w:rPr>
            </w:pPr>
          </w:p>
        </w:tc>
        <w:tc>
          <w:tcPr>
            <w:tcW w:w="1900" w:type="dxa"/>
            <w:vAlign w:val="bottom"/>
            <w:tcBorders>
              <w:top w:val="single" w:sz="8" w:color="BFE4FF"/>
              <w:right w:val="single" w:sz="8" w:color="BFE4FF"/>
            </w:tcBorders>
          </w:tcPr>
          <w:p>
            <w:pPr>
              <w:jc w:val="right"/>
              <w:ind w:right="166"/>
              <w:spacing w:after="0"/>
              <w:rPr>
                <w:sz w:val="20"/>
                <w:szCs w:val="20"/>
                <w:color w:val="auto"/>
              </w:rPr>
            </w:pPr>
            <w:r>
              <w:rPr>
                <w:rFonts w:ascii="Arial" w:cs="Arial" w:eastAsia="Arial" w:hAnsi="Arial"/>
                <w:sz w:val="14"/>
                <w:szCs w:val="14"/>
                <w:b w:val="1"/>
                <w:bCs w:val="1"/>
                <w:color w:val="auto"/>
              </w:rPr>
              <w:t>Three Months Ended</w:t>
            </w:r>
          </w:p>
        </w:tc>
        <w:tc>
          <w:tcPr>
            <w:tcW w:w="1900" w:type="dxa"/>
            <w:vAlign w:val="bottom"/>
            <w:tcBorders>
              <w:top w:val="single" w:sz="8" w:color="BFE4FF"/>
              <w:right w:val="single" w:sz="8" w:color="BFE4FF"/>
            </w:tcBorders>
          </w:tcPr>
          <w:p>
            <w:pPr>
              <w:jc w:val="right"/>
              <w:ind w:right="146"/>
              <w:spacing w:after="0"/>
              <w:rPr>
                <w:sz w:val="20"/>
                <w:szCs w:val="20"/>
                <w:color w:val="auto"/>
              </w:rPr>
            </w:pPr>
            <w:r>
              <w:rPr>
                <w:rFonts w:ascii="Arial" w:cs="Arial" w:eastAsia="Arial" w:hAnsi="Arial"/>
                <w:sz w:val="14"/>
                <w:szCs w:val="14"/>
                <w:b w:val="1"/>
                <w:bCs w:val="1"/>
                <w:color w:val="auto"/>
              </w:rPr>
              <w:t>Three Months Ended</w:t>
            </w:r>
          </w:p>
        </w:tc>
        <w:tc>
          <w:tcPr>
            <w:tcW w:w="1660" w:type="dxa"/>
            <w:vAlign w:val="bottom"/>
            <w:tcBorders>
              <w:top w:val="single" w:sz="8" w:color="BFE4FF"/>
              <w:right w:val="single" w:sz="8" w:color="BFE4FF"/>
            </w:tcBorders>
          </w:tcPr>
          <w:p>
            <w:pPr>
              <w:spacing w:after="0"/>
              <w:rPr>
                <w:sz w:val="18"/>
                <w:szCs w:val="18"/>
                <w:color w:val="auto"/>
              </w:rPr>
            </w:pPr>
          </w:p>
        </w:tc>
      </w:tr>
      <w:tr>
        <w:trPr>
          <w:trHeight w:val="405"/>
        </w:trPr>
        <w:tc>
          <w:tcPr>
            <w:tcW w:w="5960" w:type="dxa"/>
            <w:vAlign w:val="bottom"/>
            <w:tcBorders>
              <w:left w:val="single" w:sz="8" w:color="BFE4FF"/>
              <w:right w:val="single" w:sz="8" w:color="BFE4FF"/>
            </w:tcBorders>
          </w:tcPr>
          <w:p>
            <w:pPr>
              <w:ind w:left="40"/>
              <w:spacing w:after="0"/>
              <w:rPr>
                <w:sz w:val="20"/>
                <w:szCs w:val="20"/>
                <w:color w:val="auto"/>
              </w:rPr>
            </w:pPr>
            <w:r>
              <w:rPr>
                <w:rFonts w:ascii="Arial" w:cs="Arial" w:eastAsia="Arial" w:hAnsi="Arial"/>
                <w:sz w:val="14"/>
                <w:szCs w:val="14"/>
                <w:b w:val="1"/>
                <w:bCs w:val="1"/>
                <w:color w:val="auto"/>
              </w:rPr>
              <w:t>(In millions, except per share amounts)</w:t>
            </w:r>
          </w:p>
        </w:tc>
        <w:tc>
          <w:tcPr>
            <w:tcW w:w="1900" w:type="dxa"/>
            <w:vAlign w:val="bottom"/>
            <w:tcBorders>
              <w:right w:val="single" w:sz="8" w:color="BFE4FF"/>
            </w:tcBorders>
          </w:tcPr>
          <w:p>
            <w:pPr>
              <w:jc w:val="right"/>
              <w:ind w:right="206"/>
              <w:spacing w:after="0"/>
              <w:rPr>
                <w:sz w:val="20"/>
                <w:szCs w:val="20"/>
                <w:color w:val="auto"/>
              </w:rPr>
            </w:pPr>
            <w:r>
              <w:rPr>
                <w:rFonts w:ascii="Arial" w:cs="Arial" w:eastAsia="Arial" w:hAnsi="Arial"/>
                <w:sz w:val="14"/>
                <w:szCs w:val="14"/>
                <w:b w:val="1"/>
                <w:bCs w:val="1"/>
                <w:color w:val="auto"/>
              </w:rPr>
              <w:t>September 30, 2018</w:t>
            </w:r>
          </w:p>
        </w:tc>
        <w:tc>
          <w:tcPr>
            <w:tcW w:w="1900" w:type="dxa"/>
            <w:vAlign w:val="bottom"/>
            <w:tcBorders>
              <w:right w:val="single" w:sz="8" w:color="BFE4FF"/>
            </w:tcBorders>
          </w:tcPr>
          <w:p>
            <w:pPr>
              <w:jc w:val="right"/>
              <w:ind w:right="186"/>
              <w:spacing w:after="0"/>
              <w:rPr>
                <w:sz w:val="20"/>
                <w:szCs w:val="20"/>
                <w:color w:val="auto"/>
              </w:rPr>
            </w:pPr>
            <w:r>
              <w:rPr>
                <w:rFonts w:ascii="Arial" w:cs="Arial" w:eastAsia="Arial" w:hAnsi="Arial"/>
                <w:sz w:val="14"/>
                <w:szCs w:val="14"/>
                <w:b w:val="1"/>
                <w:bCs w:val="1"/>
                <w:color w:val="auto"/>
              </w:rPr>
              <w:t>September 30, 2017</w:t>
            </w:r>
          </w:p>
        </w:tc>
        <w:tc>
          <w:tcPr>
            <w:tcW w:w="1660" w:type="dxa"/>
            <w:vAlign w:val="bottom"/>
            <w:tcBorders>
              <w:right w:val="single" w:sz="8" w:color="BFE4FF"/>
            </w:tcBorders>
          </w:tcPr>
          <w:p>
            <w:pPr>
              <w:jc w:val="center"/>
              <w:spacing w:after="0"/>
              <w:rPr>
                <w:sz w:val="20"/>
                <w:szCs w:val="20"/>
                <w:color w:val="auto"/>
              </w:rPr>
            </w:pPr>
            <w:r>
              <w:rPr>
                <w:rFonts w:ascii="Arial" w:cs="Arial" w:eastAsia="Arial" w:hAnsi="Arial"/>
                <w:sz w:val="14"/>
                <w:szCs w:val="14"/>
                <w:b w:val="1"/>
                <w:bCs w:val="1"/>
                <w:color w:val="auto"/>
              </w:rPr>
              <w:t>Change</w:t>
            </w:r>
          </w:p>
        </w:tc>
      </w:tr>
      <w:tr>
        <w:trPr>
          <w:trHeight w:val="181"/>
        </w:trPr>
        <w:tc>
          <w:tcPr>
            <w:tcW w:w="5960" w:type="dxa"/>
            <w:vAlign w:val="bottom"/>
            <w:tcBorders>
              <w:left w:val="single" w:sz="8" w:color="BFE4FF"/>
              <w:bottom w:val="single" w:sz="8" w:color="BFE4FF"/>
              <w:right w:val="single" w:sz="8" w:color="BFE4FF"/>
            </w:tcBorders>
          </w:tcPr>
          <w:p>
            <w:pPr>
              <w:spacing w:after="0"/>
              <w:rPr>
                <w:sz w:val="15"/>
                <w:szCs w:val="15"/>
                <w:color w:val="auto"/>
              </w:rPr>
            </w:pPr>
          </w:p>
        </w:tc>
        <w:tc>
          <w:tcPr>
            <w:tcW w:w="1900" w:type="dxa"/>
            <w:vAlign w:val="bottom"/>
            <w:tcBorders>
              <w:bottom w:val="single" w:sz="8" w:color="BFE4FF"/>
              <w:right w:val="single" w:sz="8" w:color="BFE4FF"/>
            </w:tcBorders>
          </w:tcPr>
          <w:p>
            <w:pPr>
              <w:spacing w:after="0"/>
              <w:rPr>
                <w:sz w:val="15"/>
                <w:szCs w:val="15"/>
                <w:color w:val="auto"/>
              </w:rPr>
            </w:pPr>
          </w:p>
        </w:tc>
        <w:tc>
          <w:tcPr>
            <w:tcW w:w="1900" w:type="dxa"/>
            <w:vAlign w:val="bottom"/>
            <w:tcBorders>
              <w:bottom w:val="single" w:sz="8" w:color="BFE4FF"/>
              <w:right w:val="single" w:sz="8" w:color="BFE4FF"/>
            </w:tcBorders>
          </w:tcPr>
          <w:p>
            <w:pPr>
              <w:spacing w:after="0"/>
              <w:rPr>
                <w:sz w:val="15"/>
                <w:szCs w:val="15"/>
                <w:color w:val="auto"/>
              </w:rPr>
            </w:pPr>
          </w:p>
        </w:tc>
        <w:tc>
          <w:tcPr>
            <w:tcW w:w="1660" w:type="dxa"/>
            <w:vAlign w:val="bottom"/>
            <w:tcBorders>
              <w:bottom w:val="single" w:sz="8" w:color="BFE4FF"/>
              <w:right w:val="single" w:sz="8" w:color="BFE4FF"/>
            </w:tcBorders>
          </w:tcPr>
          <w:p>
            <w:pPr>
              <w:spacing w:after="0"/>
              <w:rPr>
                <w:sz w:val="15"/>
                <w:szCs w:val="15"/>
                <w:color w:val="auto"/>
              </w:rPr>
            </w:pPr>
          </w:p>
        </w:tc>
      </w:tr>
      <w:tr>
        <w:trPr>
          <w:trHeight w:val="266"/>
        </w:trPr>
        <w:tc>
          <w:tcPr>
            <w:tcW w:w="5960" w:type="dxa"/>
            <w:vAlign w:val="bottom"/>
            <w:tcBorders>
              <w:left w:val="single" w:sz="8" w:color="BFE4FF"/>
              <w:bottom w:val="single" w:sz="8" w:color="BFE4FF"/>
              <w:right w:val="single" w:sz="8" w:color="BFE4FF"/>
            </w:tcBorders>
          </w:tcPr>
          <w:p>
            <w:pPr>
              <w:ind w:left="40"/>
              <w:spacing w:after="0"/>
              <w:rPr>
                <w:sz w:val="20"/>
                <w:szCs w:val="20"/>
                <w:color w:val="auto"/>
              </w:rPr>
            </w:pPr>
            <w:r>
              <w:rPr>
                <w:rFonts w:ascii="Arial" w:cs="Arial" w:eastAsia="Arial" w:hAnsi="Arial"/>
                <w:sz w:val="20"/>
                <w:szCs w:val="20"/>
                <w:b w:val="1"/>
                <w:bCs w:val="1"/>
                <w:color w:val="auto"/>
              </w:rPr>
              <w:t>Revenue</w:t>
            </w:r>
          </w:p>
        </w:tc>
        <w:tc>
          <w:tcPr>
            <w:tcW w:w="1900" w:type="dxa"/>
            <w:vAlign w:val="bottom"/>
            <w:tcBorders>
              <w:bottom w:val="single" w:sz="8" w:color="BFE4FF"/>
              <w:right w:val="single" w:sz="8" w:color="BFE4FF"/>
            </w:tcBorders>
          </w:tcPr>
          <w:p>
            <w:pPr>
              <w:jc w:val="right"/>
              <w:ind w:right="266"/>
              <w:spacing w:after="0"/>
              <w:rPr>
                <w:sz w:val="20"/>
                <w:szCs w:val="20"/>
                <w:color w:val="auto"/>
              </w:rPr>
            </w:pPr>
            <w:r>
              <w:rPr>
                <w:rFonts w:ascii="Arial" w:cs="Arial" w:eastAsia="Arial" w:hAnsi="Arial"/>
                <w:sz w:val="20"/>
                <w:szCs w:val="20"/>
                <w:color w:val="auto"/>
              </w:rPr>
              <w:t>$3,143.8</w:t>
            </w:r>
          </w:p>
        </w:tc>
        <w:tc>
          <w:tcPr>
            <w:tcW w:w="1900" w:type="dxa"/>
            <w:vAlign w:val="bottom"/>
            <w:tcBorders>
              <w:bottom w:val="single" w:sz="8" w:color="BFE4FF"/>
              <w:right w:val="single" w:sz="8" w:color="BFE4FF"/>
            </w:tcBorders>
          </w:tcPr>
          <w:p>
            <w:pPr>
              <w:jc w:val="right"/>
              <w:ind w:right="266"/>
              <w:spacing w:after="0"/>
              <w:rPr>
                <w:sz w:val="20"/>
                <w:szCs w:val="20"/>
                <w:color w:val="auto"/>
              </w:rPr>
            </w:pPr>
            <w:r>
              <w:rPr>
                <w:rFonts w:ascii="Arial" w:cs="Arial" w:eastAsia="Arial" w:hAnsi="Arial"/>
                <w:sz w:val="20"/>
                <w:szCs w:val="20"/>
                <w:color w:val="auto"/>
              </w:rPr>
              <w:t>$4,140.9</w:t>
            </w:r>
          </w:p>
        </w:tc>
        <w:tc>
          <w:tcPr>
            <w:tcW w:w="1660" w:type="dxa"/>
            <w:vAlign w:val="bottom"/>
            <w:tcBorders>
              <w:bottom w:val="single" w:sz="8" w:color="CCEEFF"/>
              <w:right w:val="single" w:sz="8" w:color="BFE4FF"/>
            </w:tcBorders>
          </w:tcPr>
          <w:p>
            <w:pPr>
              <w:jc w:val="center"/>
              <w:spacing w:after="0"/>
              <w:rPr>
                <w:sz w:val="20"/>
                <w:szCs w:val="20"/>
                <w:color w:val="auto"/>
              </w:rPr>
            </w:pPr>
            <w:r>
              <w:rPr>
                <w:rFonts w:ascii="Arial" w:cs="Arial" w:eastAsia="Arial" w:hAnsi="Arial"/>
                <w:sz w:val="20"/>
                <w:szCs w:val="20"/>
                <w:color w:val="auto"/>
                <w:w w:val="97"/>
              </w:rPr>
              <w:t>(24.1%)</w:t>
            </w:r>
          </w:p>
        </w:tc>
      </w:tr>
      <w:tr>
        <w:trPr>
          <w:trHeight w:val="264"/>
        </w:trPr>
        <w:tc>
          <w:tcPr>
            <w:tcW w:w="5960" w:type="dxa"/>
            <w:vAlign w:val="bottom"/>
            <w:tcBorders>
              <w:left w:val="single" w:sz="8" w:color="BFE4FF"/>
              <w:bottom w:val="single" w:sz="8" w:color="BFE4FF"/>
              <w:right w:val="single" w:sz="8" w:color="BFE4FF"/>
            </w:tcBorders>
          </w:tcPr>
          <w:p>
            <w:pPr>
              <w:ind w:left="40"/>
              <w:spacing w:after="0"/>
              <w:rPr>
                <w:sz w:val="20"/>
                <w:szCs w:val="20"/>
                <w:color w:val="auto"/>
              </w:rPr>
            </w:pPr>
            <w:r>
              <w:rPr>
                <w:rFonts w:ascii="Arial" w:cs="Arial" w:eastAsia="Arial" w:hAnsi="Arial"/>
                <w:sz w:val="20"/>
                <w:szCs w:val="20"/>
                <w:b w:val="1"/>
                <w:bCs w:val="1"/>
                <w:color w:val="auto"/>
              </w:rPr>
              <w:t>Net income</w:t>
            </w:r>
          </w:p>
        </w:tc>
        <w:tc>
          <w:tcPr>
            <w:tcW w:w="1900" w:type="dxa"/>
            <w:vAlign w:val="bottom"/>
            <w:tcBorders>
              <w:bottom w:val="single" w:sz="8" w:color="BFE4FF"/>
              <w:right w:val="single" w:sz="8" w:color="BFE4FF"/>
            </w:tcBorders>
          </w:tcPr>
          <w:p>
            <w:pPr>
              <w:jc w:val="right"/>
              <w:ind w:right="266"/>
              <w:spacing w:after="0"/>
              <w:rPr>
                <w:sz w:val="20"/>
                <w:szCs w:val="20"/>
                <w:color w:val="auto"/>
              </w:rPr>
            </w:pPr>
            <w:r>
              <w:rPr>
                <w:rFonts w:ascii="Arial" w:cs="Arial" w:eastAsia="Arial" w:hAnsi="Arial"/>
                <w:sz w:val="20"/>
                <w:szCs w:val="20"/>
                <w:color w:val="auto"/>
              </w:rPr>
              <w:t>$136.9</w:t>
            </w:r>
          </w:p>
        </w:tc>
        <w:tc>
          <w:tcPr>
            <w:tcW w:w="1900" w:type="dxa"/>
            <w:vAlign w:val="bottom"/>
            <w:tcBorders>
              <w:bottom w:val="single" w:sz="8" w:color="BFE4FF"/>
              <w:right w:val="single" w:sz="8" w:color="BFE4FF"/>
            </w:tcBorders>
          </w:tcPr>
          <w:p>
            <w:pPr>
              <w:jc w:val="right"/>
              <w:ind w:right="266"/>
              <w:spacing w:after="0"/>
              <w:rPr>
                <w:sz w:val="20"/>
                <w:szCs w:val="20"/>
                <w:color w:val="auto"/>
              </w:rPr>
            </w:pPr>
            <w:r>
              <w:rPr>
                <w:rFonts w:ascii="Arial" w:cs="Arial" w:eastAsia="Arial" w:hAnsi="Arial"/>
                <w:sz w:val="20"/>
                <w:szCs w:val="20"/>
                <w:color w:val="auto"/>
              </w:rPr>
              <w:t>$121.0</w:t>
            </w:r>
          </w:p>
        </w:tc>
        <w:tc>
          <w:tcPr>
            <w:tcW w:w="1660" w:type="dxa"/>
            <w:vAlign w:val="bottom"/>
            <w:tcBorders>
              <w:bottom w:val="single" w:sz="8" w:color="CCEEFF"/>
              <w:right w:val="single" w:sz="8" w:color="BFE4FF"/>
            </w:tcBorders>
          </w:tcPr>
          <w:p>
            <w:pPr>
              <w:jc w:val="center"/>
              <w:spacing w:after="0"/>
              <w:rPr>
                <w:sz w:val="20"/>
                <w:szCs w:val="20"/>
                <w:color w:val="auto"/>
              </w:rPr>
            </w:pPr>
            <w:r>
              <w:rPr>
                <w:rFonts w:ascii="Arial" w:cs="Arial" w:eastAsia="Arial" w:hAnsi="Arial"/>
                <w:sz w:val="20"/>
                <w:szCs w:val="20"/>
                <w:color w:val="auto"/>
                <w:w w:val="98"/>
              </w:rPr>
              <w:t>13.1%</w:t>
            </w:r>
          </w:p>
        </w:tc>
      </w:tr>
      <w:tr>
        <w:trPr>
          <w:trHeight w:val="264"/>
        </w:trPr>
        <w:tc>
          <w:tcPr>
            <w:tcW w:w="5960" w:type="dxa"/>
            <w:vAlign w:val="bottom"/>
            <w:tcBorders>
              <w:left w:val="single" w:sz="8" w:color="BFE4FF"/>
              <w:bottom w:val="single" w:sz="8" w:color="BFE4FF"/>
              <w:right w:val="single" w:sz="8" w:color="BFE4FF"/>
            </w:tcBorders>
          </w:tcPr>
          <w:p>
            <w:pPr>
              <w:ind w:left="40"/>
              <w:spacing w:after="0"/>
              <w:rPr>
                <w:sz w:val="20"/>
                <w:szCs w:val="20"/>
                <w:color w:val="auto"/>
              </w:rPr>
            </w:pPr>
            <w:r>
              <w:rPr>
                <w:rFonts w:ascii="Arial" w:cs="Arial" w:eastAsia="Arial" w:hAnsi="Arial"/>
                <w:sz w:val="20"/>
                <w:szCs w:val="20"/>
                <w:b w:val="1"/>
                <w:bCs w:val="1"/>
                <w:color w:val="auto"/>
              </w:rPr>
              <w:t>Diluted EPS</w:t>
            </w:r>
          </w:p>
        </w:tc>
        <w:tc>
          <w:tcPr>
            <w:tcW w:w="1900" w:type="dxa"/>
            <w:vAlign w:val="bottom"/>
            <w:tcBorders>
              <w:bottom w:val="single" w:sz="8" w:color="BFE4FF"/>
              <w:right w:val="single" w:sz="8" w:color="BFE4FF"/>
            </w:tcBorders>
          </w:tcPr>
          <w:p>
            <w:pPr>
              <w:jc w:val="right"/>
              <w:ind w:right="266"/>
              <w:spacing w:after="0"/>
              <w:rPr>
                <w:sz w:val="20"/>
                <w:szCs w:val="20"/>
                <w:color w:val="auto"/>
              </w:rPr>
            </w:pPr>
            <w:r>
              <w:rPr>
                <w:rFonts w:ascii="Arial" w:cs="Arial" w:eastAsia="Arial" w:hAnsi="Arial"/>
                <w:sz w:val="20"/>
                <w:szCs w:val="20"/>
                <w:color w:val="auto"/>
              </w:rPr>
              <w:t>$0.30</w:t>
            </w:r>
          </w:p>
        </w:tc>
        <w:tc>
          <w:tcPr>
            <w:tcW w:w="1900" w:type="dxa"/>
            <w:vAlign w:val="bottom"/>
            <w:tcBorders>
              <w:bottom w:val="single" w:sz="8" w:color="BFE4FF"/>
              <w:right w:val="single" w:sz="8" w:color="BFE4FF"/>
            </w:tcBorders>
          </w:tcPr>
          <w:p>
            <w:pPr>
              <w:jc w:val="right"/>
              <w:ind w:right="266"/>
              <w:spacing w:after="0"/>
              <w:rPr>
                <w:sz w:val="20"/>
                <w:szCs w:val="20"/>
                <w:color w:val="auto"/>
              </w:rPr>
            </w:pPr>
            <w:r>
              <w:rPr>
                <w:rFonts w:ascii="Arial" w:cs="Arial" w:eastAsia="Arial" w:hAnsi="Arial"/>
                <w:sz w:val="20"/>
                <w:szCs w:val="20"/>
                <w:color w:val="auto"/>
              </w:rPr>
              <w:t>$0.26</w:t>
            </w:r>
          </w:p>
        </w:tc>
        <w:tc>
          <w:tcPr>
            <w:tcW w:w="1660" w:type="dxa"/>
            <w:vAlign w:val="bottom"/>
            <w:tcBorders>
              <w:bottom w:val="single" w:sz="8" w:color="CCEEFF"/>
              <w:right w:val="single" w:sz="8" w:color="BFE4FF"/>
            </w:tcBorders>
          </w:tcPr>
          <w:p>
            <w:pPr>
              <w:jc w:val="center"/>
              <w:spacing w:after="0"/>
              <w:rPr>
                <w:sz w:val="20"/>
                <w:szCs w:val="20"/>
                <w:color w:val="auto"/>
              </w:rPr>
            </w:pPr>
            <w:r>
              <w:rPr>
                <w:rFonts w:ascii="Arial" w:cs="Arial" w:eastAsia="Arial" w:hAnsi="Arial"/>
                <w:sz w:val="20"/>
                <w:szCs w:val="20"/>
                <w:color w:val="auto"/>
                <w:w w:val="98"/>
              </w:rPr>
              <w:t>15.4%</w:t>
            </w:r>
          </w:p>
        </w:tc>
      </w:tr>
      <w:tr>
        <w:trPr>
          <w:trHeight w:val="322"/>
        </w:trPr>
        <w:tc>
          <w:tcPr>
            <w:tcW w:w="5960" w:type="dxa"/>
            <w:vAlign w:val="bottom"/>
            <w:tcBorders>
              <w:left w:val="single" w:sz="8" w:color="BFE4FF"/>
              <w:bottom w:val="single" w:sz="8" w:color="BFE4FF"/>
              <w:right w:val="single" w:sz="8" w:color="BFE4FF"/>
            </w:tcBorders>
          </w:tcPr>
          <w:p>
            <w:pPr>
              <w:spacing w:after="0"/>
              <w:rPr>
                <w:sz w:val="24"/>
                <w:szCs w:val="24"/>
                <w:color w:val="auto"/>
              </w:rPr>
            </w:pPr>
          </w:p>
        </w:tc>
        <w:tc>
          <w:tcPr>
            <w:tcW w:w="1900" w:type="dxa"/>
            <w:vAlign w:val="bottom"/>
            <w:tcBorders>
              <w:bottom w:val="single" w:sz="8" w:color="BFE4FF"/>
              <w:right w:val="single" w:sz="8" w:color="BFE4FF"/>
            </w:tcBorders>
          </w:tcPr>
          <w:p>
            <w:pPr>
              <w:spacing w:after="0"/>
              <w:rPr>
                <w:sz w:val="24"/>
                <w:szCs w:val="24"/>
                <w:color w:val="auto"/>
              </w:rPr>
            </w:pPr>
          </w:p>
        </w:tc>
        <w:tc>
          <w:tcPr>
            <w:tcW w:w="1900" w:type="dxa"/>
            <w:vAlign w:val="bottom"/>
            <w:tcBorders>
              <w:bottom w:val="single" w:sz="8" w:color="BFE4FF"/>
              <w:right w:val="single" w:sz="8" w:color="BFE4FF"/>
            </w:tcBorders>
          </w:tcPr>
          <w:p>
            <w:pPr>
              <w:spacing w:after="0"/>
              <w:rPr>
                <w:sz w:val="24"/>
                <w:szCs w:val="24"/>
                <w:color w:val="auto"/>
              </w:rPr>
            </w:pPr>
          </w:p>
        </w:tc>
        <w:tc>
          <w:tcPr>
            <w:tcW w:w="1660" w:type="dxa"/>
            <w:vAlign w:val="bottom"/>
            <w:tcBorders>
              <w:bottom w:val="single" w:sz="8" w:color="CCEEFF"/>
              <w:right w:val="single" w:sz="8" w:color="BFE4FF"/>
            </w:tcBorders>
          </w:tcPr>
          <w:p>
            <w:pPr>
              <w:spacing w:after="0"/>
              <w:rPr>
                <w:sz w:val="24"/>
                <w:szCs w:val="24"/>
                <w:color w:val="auto"/>
              </w:rPr>
            </w:pPr>
          </w:p>
        </w:tc>
      </w:tr>
      <w:tr>
        <w:trPr>
          <w:trHeight w:val="259"/>
        </w:trPr>
        <w:tc>
          <w:tcPr>
            <w:tcW w:w="5960" w:type="dxa"/>
            <w:vAlign w:val="bottom"/>
            <w:tcBorders>
              <w:left w:val="single" w:sz="8" w:color="BFE4FF"/>
              <w:bottom w:val="single" w:sz="8" w:color="BFE4FF"/>
              <w:right w:val="single" w:sz="8" w:color="BFE4FF"/>
            </w:tcBorders>
          </w:tcPr>
          <w:p>
            <w:pPr>
              <w:ind w:left="40"/>
              <w:spacing w:after="0"/>
              <w:rPr>
                <w:sz w:val="20"/>
                <w:szCs w:val="20"/>
                <w:color w:val="auto"/>
              </w:rPr>
            </w:pPr>
            <w:r>
              <w:rPr>
                <w:rFonts w:ascii="Arial" w:cs="Arial" w:eastAsia="Arial" w:hAnsi="Arial"/>
                <w:sz w:val="20"/>
                <w:szCs w:val="20"/>
                <w:b w:val="1"/>
                <w:bCs w:val="1"/>
                <w:color w:val="auto"/>
              </w:rPr>
              <w:t>Adjusted EBITDA</w:t>
            </w:r>
          </w:p>
        </w:tc>
        <w:tc>
          <w:tcPr>
            <w:tcW w:w="1900" w:type="dxa"/>
            <w:vAlign w:val="bottom"/>
            <w:tcBorders>
              <w:bottom w:val="single" w:sz="8" w:color="BFE4FF"/>
              <w:right w:val="single" w:sz="8" w:color="BFE4FF"/>
            </w:tcBorders>
          </w:tcPr>
          <w:p>
            <w:pPr>
              <w:jc w:val="right"/>
              <w:ind w:right="266"/>
              <w:spacing w:after="0"/>
              <w:rPr>
                <w:sz w:val="20"/>
                <w:szCs w:val="20"/>
                <w:color w:val="auto"/>
              </w:rPr>
            </w:pPr>
            <w:r>
              <w:rPr>
                <w:rFonts w:ascii="Arial" w:cs="Arial" w:eastAsia="Arial" w:hAnsi="Arial"/>
                <w:sz w:val="20"/>
                <w:szCs w:val="20"/>
                <w:color w:val="auto"/>
              </w:rPr>
              <w:t>$430.5</w:t>
            </w:r>
          </w:p>
        </w:tc>
        <w:tc>
          <w:tcPr>
            <w:tcW w:w="1900" w:type="dxa"/>
            <w:vAlign w:val="bottom"/>
            <w:tcBorders>
              <w:bottom w:val="single" w:sz="8" w:color="BFE4FF"/>
              <w:right w:val="single" w:sz="8" w:color="BFE4FF"/>
            </w:tcBorders>
          </w:tcPr>
          <w:p>
            <w:pPr>
              <w:jc w:val="right"/>
              <w:ind w:right="266"/>
              <w:spacing w:after="0"/>
              <w:rPr>
                <w:sz w:val="20"/>
                <w:szCs w:val="20"/>
                <w:color w:val="auto"/>
              </w:rPr>
            </w:pPr>
            <w:r>
              <w:rPr>
                <w:rFonts w:ascii="Arial" w:cs="Arial" w:eastAsia="Arial" w:hAnsi="Arial"/>
                <w:sz w:val="20"/>
                <w:szCs w:val="20"/>
                <w:color w:val="auto"/>
              </w:rPr>
              <w:t>$536.2</w:t>
            </w:r>
          </w:p>
        </w:tc>
        <w:tc>
          <w:tcPr>
            <w:tcW w:w="1660" w:type="dxa"/>
            <w:vAlign w:val="bottom"/>
            <w:tcBorders>
              <w:bottom w:val="single" w:sz="8" w:color="BFE4FF"/>
              <w:right w:val="single" w:sz="8" w:color="BFE4FF"/>
            </w:tcBorders>
          </w:tcPr>
          <w:p>
            <w:pPr>
              <w:jc w:val="center"/>
              <w:spacing w:after="0"/>
              <w:rPr>
                <w:sz w:val="20"/>
                <w:szCs w:val="20"/>
                <w:color w:val="auto"/>
              </w:rPr>
            </w:pPr>
            <w:r>
              <w:rPr>
                <w:rFonts w:ascii="Arial" w:cs="Arial" w:eastAsia="Arial" w:hAnsi="Arial"/>
                <w:sz w:val="20"/>
                <w:szCs w:val="20"/>
                <w:color w:val="auto"/>
                <w:w w:val="97"/>
              </w:rPr>
              <w:t>(19.7%)</w:t>
            </w:r>
          </w:p>
        </w:tc>
      </w:tr>
      <w:tr>
        <w:trPr>
          <w:trHeight w:val="264"/>
        </w:trPr>
        <w:tc>
          <w:tcPr>
            <w:tcW w:w="5960" w:type="dxa"/>
            <w:vAlign w:val="bottom"/>
            <w:tcBorders>
              <w:left w:val="single" w:sz="8" w:color="BFE4FF"/>
              <w:bottom w:val="single" w:sz="8" w:color="BFE4FF"/>
              <w:right w:val="single" w:sz="8" w:color="BFE4FF"/>
            </w:tcBorders>
          </w:tcPr>
          <w:p>
            <w:pPr>
              <w:ind w:left="40"/>
              <w:spacing w:after="0"/>
              <w:rPr>
                <w:sz w:val="20"/>
                <w:szCs w:val="20"/>
                <w:color w:val="auto"/>
              </w:rPr>
            </w:pPr>
            <w:r>
              <w:rPr>
                <w:rFonts w:ascii="Arial" w:cs="Arial" w:eastAsia="Arial" w:hAnsi="Arial"/>
                <w:sz w:val="20"/>
                <w:szCs w:val="20"/>
                <w:b w:val="1"/>
                <w:bCs w:val="1"/>
                <w:color w:val="auto"/>
              </w:rPr>
              <w:t>Adjusted EBITDA margin</w:t>
            </w:r>
          </w:p>
        </w:tc>
        <w:tc>
          <w:tcPr>
            <w:tcW w:w="1900" w:type="dxa"/>
            <w:vAlign w:val="bottom"/>
            <w:tcBorders>
              <w:bottom w:val="single" w:sz="8" w:color="BFE4FF"/>
              <w:right w:val="single" w:sz="8" w:color="BFE4FF"/>
            </w:tcBorders>
          </w:tcPr>
          <w:p>
            <w:pPr>
              <w:jc w:val="right"/>
              <w:ind w:right="106"/>
              <w:spacing w:after="0"/>
              <w:rPr>
                <w:sz w:val="20"/>
                <w:szCs w:val="20"/>
                <w:color w:val="auto"/>
              </w:rPr>
            </w:pPr>
            <w:r>
              <w:rPr>
                <w:rFonts w:ascii="Arial" w:cs="Arial" w:eastAsia="Arial" w:hAnsi="Arial"/>
                <w:sz w:val="20"/>
                <w:szCs w:val="20"/>
                <w:color w:val="auto"/>
              </w:rPr>
              <w:t>13.7%</w:t>
            </w:r>
          </w:p>
        </w:tc>
        <w:tc>
          <w:tcPr>
            <w:tcW w:w="1900" w:type="dxa"/>
            <w:vAlign w:val="bottom"/>
            <w:tcBorders>
              <w:bottom w:val="single" w:sz="8" w:color="BFE4FF"/>
              <w:right w:val="single" w:sz="8" w:color="BFE4FF"/>
            </w:tcBorders>
          </w:tcPr>
          <w:p>
            <w:pPr>
              <w:jc w:val="right"/>
              <w:ind w:right="86"/>
              <w:spacing w:after="0"/>
              <w:rPr>
                <w:sz w:val="20"/>
                <w:szCs w:val="20"/>
                <w:color w:val="auto"/>
              </w:rPr>
            </w:pPr>
            <w:r>
              <w:rPr>
                <w:rFonts w:ascii="Arial" w:cs="Arial" w:eastAsia="Arial" w:hAnsi="Arial"/>
                <w:sz w:val="20"/>
                <w:szCs w:val="20"/>
                <w:color w:val="auto"/>
              </w:rPr>
              <w:t>12.9%</w:t>
            </w:r>
          </w:p>
        </w:tc>
        <w:tc>
          <w:tcPr>
            <w:tcW w:w="1660" w:type="dxa"/>
            <w:vAlign w:val="bottom"/>
            <w:tcBorders>
              <w:bottom w:val="single" w:sz="8" w:color="CCEEFF"/>
              <w:right w:val="single" w:sz="8" w:color="BFE4FF"/>
            </w:tcBorders>
          </w:tcPr>
          <w:p>
            <w:pPr>
              <w:jc w:val="center"/>
              <w:spacing w:after="0"/>
              <w:rPr>
                <w:sz w:val="20"/>
                <w:szCs w:val="20"/>
                <w:color w:val="auto"/>
              </w:rPr>
            </w:pPr>
            <w:r>
              <w:rPr>
                <w:rFonts w:ascii="Arial" w:cs="Arial" w:eastAsia="Arial" w:hAnsi="Arial"/>
                <w:sz w:val="20"/>
                <w:szCs w:val="20"/>
                <w:color w:val="auto"/>
                <w:w w:val="99"/>
              </w:rPr>
              <w:t>74 bps</w:t>
            </w:r>
          </w:p>
        </w:tc>
      </w:tr>
      <w:tr>
        <w:trPr>
          <w:trHeight w:val="264"/>
        </w:trPr>
        <w:tc>
          <w:tcPr>
            <w:tcW w:w="5960" w:type="dxa"/>
            <w:vAlign w:val="bottom"/>
            <w:tcBorders>
              <w:left w:val="single" w:sz="8" w:color="BFE4FF"/>
              <w:bottom w:val="single" w:sz="8" w:color="BFE4FF"/>
              <w:right w:val="single" w:sz="8" w:color="BFE4FF"/>
            </w:tcBorders>
          </w:tcPr>
          <w:p>
            <w:pPr>
              <w:ind w:left="40"/>
              <w:spacing w:after="0"/>
              <w:rPr>
                <w:sz w:val="20"/>
                <w:szCs w:val="20"/>
                <w:color w:val="auto"/>
              </w:rPr>
            </w:pPr>
            <w:r>
              <w:rPr>
                <w:rFonts w:ascii="Arial" w:cs="Arial" w:eastAsia="Arial" w:hAnsi="Arial"/>
                <w:sz w:val="20"/>
                <w:szCs w:val="20"/>
                <w:b w:val="1"/>
                <w:bCs w:val="1"/>
                <w:color w:val="auto"/>
              </w:rPr>
              <w:t>Net income, excluding charges and credits</w:t>
            </w:r>
          </w:p>
        </w:tc>
        <w:tc>
          <w:tcPr>
            <w:tcW w:w="1900" w:type="dxa"/>
            <w:vAlign w:val="bottom"/>
            <w:tcBorders>
              <w:bottom w:val="single" w:sz="8" w:color="BFE4FF"/>
              <w:right w:val="single" w:sz="8" w:color="BFE4FF"/>
            </w:tcBorders>
          </w:tcPr>
          <w:p>
            <w:pPr>
              <w:jc w:val="right"/>
              <w:ind w:right="266"/>
              <w:spacing w:after="0"/>
              <w:rPr>
                <w:sz w:val="20"/>
                <w:szCs w:val="20"/>
                <w:color w:val="auto"/>
              </w:rPr>
            </w:pPr>
            <w:r>
              <w:rPr>
                <w:rFonts w:ascii="Arial" w:cs="Arial" w:eastAsia="Arial" w:hAnsi="Arial"/>
                <w:sz w:val="20"/>
                <w:szCs w:val="20"/>
                <w:color w:val="auto"/>
              </w:rPr>
              <w:t>$139.8</w:t>
            </w:r>
          </w:p>
        </w:tc>
        <w:tc>
          <w:tcPr>
            <w:tcW w:w="1900" w:type="dxa"/>
            <w:vAlign w:val="bottom"/>
            <w:tcBorders>
              <w:bottom w:val="single" w:sz="8" w:color="BFE4FF"/>
              <w:right w:val="single" w:sz="8" w:color="BFE4FF"/>
            </w:tcBorders>
          </w:tcPr>
          <w:p>
            <w:pPr>
              <w:jc w:val="right"/>
              <w:ind w:right="266"/>
              <w:spacing w:after="0"/>
              <w:rPr>
                <w:sz w:val="20"/>
                <w:szCs w:val="20"/>
                <w:color w:val="auto"/>
              </w:rPr>
            </w:pPr>
            <w:r>
              <w:rPr>
                <w:rFonts w:ascii="Arial" w:cs="Arial" w:eastAsia="Arial" w:hAnsi="Arial"/>
                <w:sz w:val="20"/>
                <w:szCs w:val="20"/>
                <w:color w:val="auto"/>
              </w:rPr>
              <w:t>$183.6</w:t>
            </w:r>
          </w:p>
        </w:tc>
        <w:tc>
          <w:tcPr>
            <w:tcW w:w="1660" w:type="dxa"/>
            <w:vAlign w:val="bottom"/>
            <w:tcBorders>
              <w:bottom w:val="single" w:sz="8" w:color="BFE4FF"/>
              <w:right w:val="single" w:sz="8" w:color="BFE4FF"/>
            </w:tcBorders>
          </w:tcPr>
          <w:p>
            <w:pPr>
              <w:jc w:val="center"/>
              <w:spacing w:after="0"/>
              <w:rPr>
                <w:sz w:val="20"/>
                <w:szCs w:val="20"/>
                <w:color w:val="auto"/>
              </w:rPr>
            </w:pPr>
            <w:r>
              <w:rPr>
                <w:rFonts w:ascii="Arial" w:cs="Arial" w:eastAsia="Arial" w:hAnsi="Arial"/>
                <w:sz w:val="20"/>
                <w:szCs w:val="20"/>
                <w:color w:val="auto"/>
                <w:w w:val="97"/>
              </w:rPr>
              <w:t>(23.9%)</w:t>
            </w:r>
          </w:p>
        </w:tc>
      </w:tr>
      <w:tr>
        <w:trPr>
          <w:trHeight w:val="264"/>
        </w:trPr>
        <w:tc>
          <w:tcPr>
            <w:tcW w:w="5960" w:type="dxa"/>
            <w:vAlign w:val="bottom"/>
            <w:tcBorders>
              <w:left w:val="single" w:sz="8" w:color="BFE4FF"/>
              <w:bottom w:val="single" w:sz="8" w:color="BFE4FF"/>
              <w:right w:val="single" w:sz="8" w:color="BFE4FF"/>
            </w:tcBorders>
          </w:tcPr>
          <w:p>
            <w:pPr>
              <w:ind w:left="40"/>
              <w:spacing w:after="0"/>
              <w:rPr>
                <w:sz w:val="20"/>
                <w:szCs w:val="20"/>
                <w:color w:val="auto"/>
              </w:rPr>
            </w:pPr>
            <w:r>
              <w:rPr>
                <w:rFonts w:ascii="Arial" w:cs="Arial" w:eastAsia="Arial" w:hAnsi="Arial"/>
                <w:sz w:val="20"/>
                <w:szCs w:val="20"/>
                <w:b w:val="1"/>
                <w:bCs w:val="1"/>
                <w:color w:val="auto"/>
              </w:rPr>
              <w:t>Diluted EPS, excluding charges and credits</w:t>
            </w:r>
          </w:p>
        </w:tc>
        <w:tc>
          <w:tcPr>
            <w:tcW w:w="1900" w:type="dxa"/>
            <w:vAlign w:val="bottom"/>
            <w:tcBorders>
              <w:bottom w:val="single" w:sz="8" w:color="BFE4FF"/>
              <w:right w:val="single" w:sz="8" w:color="BFE4FF"/>
            </w:tcBorders>
          </w:tcPr>
          <w:p>
            <w:pPr>
              <w:jc w:val="right"/>
              <w:ind w:right="266"/>
              <w:spacing w:after="0"/>
              <w:rPr>
                <w:sz w:val="20"/>
                <w:szCs w:val="20"/>
                <w:color w:val="auto"/>
              </w:rPr>
            </w:pPr>
            <w:r>
              <w:rPr>
                <w:rFonts w:ascii="Arial" w:cs="Arial" w:eastAsia="Arial" w:hAnsi="Arial"/>
                <w:sz w:val="20"/>
                <w:szCs w:val="20"/>
                <w:color w:val="auto"/>
              </w:rPr>
              <w:t>$0.31</w:t>
            </w:r>
          </w:p>
        </w:tc>
        <w:tc>
          <w:tcPr>
            <w:tcW w:w="1900" w:type="dxa"/>
            <w:vAlign w:val="bottom"/>
            <w:tcBorders>
              <w:bottom w:val="single" w:sz="8" w:color="BFE4FF"/>
              <w:right w:val="single" w:sz="8" w:color="BFE4FF"/>
            </w:tcBorders>
          </w:tcPr>
          <w:p>
            <w:pPr>
              <w:jc w:val="right"/>
              <w:ind w:right="266"/>
              <w:spacing w:after="0"/>
              <w:rPr>
                <w:sz w:val="20"/>
                <w:szCs w:val="20"/>
                <w:color w:val="auto"/>
              </w:rPr>
            </w:pPr>
            <w:r>
              <w:rPr>
                <w:rFonts w:ascii="Arial" w:cs="Arial" w:eastAsia="Arial" w:hAnsi="Arial"/>
                <w:sz w:val="20"/>
                <w:szCs w:val="20"/>
                <w:color w:val="auto"/>
              </w:rPr>
              <w:t>$0.39</w:t>
            </w:r>
          </w:p>
        </w:tc>
        <w:tc>
          <w:tcPr>
            <w:tcW w:w="1660" w:type="dxa"/>
            <w:vAlign w:val="bottom"/>
            <w:tcBorders>
              <w:bottom w:val="single" w:sz="8" w:color="BFE4FF"/>
              <w:right w:val="single" w:sz="8" w:color="BFE4FF"/>
            </w:tcBorders>
          </w:tcPr>
          <w:p>
            <w:pPr>
              <w:jc w:val="center"/>
              <w:spacing w:after="0"/>
              <w:rPr>
                <w:sz w:val="20"/>
                <w:szCs w:val="20"/>
                <w:color w:val="auto"/>
              </w:rPr>
            </w:pPr>
            <w:r>
              <w:rPr>
                <w:rFonts w:ascii="Arial" w:cs="Arial" w:eastAsia="Arial" w:hAnsi="Arial"/>
                <w:sz w:val="20"/>
                <w:szCs w:val="20"/>
                <w:color w:val="auto"/>
                <w:w w:val="97"/>
              </w:rPr>
              <w:t>(20.5%)</w:t>
            </w:r>
          </w:p>
        </w:tc>
      </w:tr>
      <w:tr>
        <w:trPr>
          <w:trHeight w:val="322"/>
        </w:trPr>
        <w:tc>
          <w:tcPr>
            <w:tcW w:w="5960" w:type="dxa"/>
            <w:vAlign w:val="bottom"/>
            <w:tcBorders>
              <w:left w:val="single" w:sz="8" w:color="BFE4FF"/>
              <w:bottom w:val="single" w:sz="8" w:color="BFE4FF"/>
              <w:right w:val="single" w:sz="8" w:color="BFE4FF"/>
            </w:tcBorders>
          </w:tcPr>
          <w:p>
            <w:pPr>
              <w:spacing w:after="0"/>
              <w:rPr>
                <w:sz w:val="24"/>
                <w:szCs w:val="24"/>
                <w:color w:val="auto"/>
              </w:rPr>
            </w:pPr>
          </w:p>
        </w:tc>
        <w:tc>
          <w:tcPr>
            <w:tcW w:w="1900" w:type="dxa"/>
            <w:vAlign w:val="bottom"/>
            <w:tcBorders>
              <w:bottom w:val="single" w:sz="8" w:color="BFE4FF"/>
              <w:right w:val="single" w:sz="8" w:color="BFE4FF"/>
            </w:tcBorders>
          </w:tcPr>
          <w:p>
            <w:pPr>
              <w:spacing w:after="0"/>
              <w:rPr>
                <w:sz w:val="24"/>
                <w:szCs w:val="24"/>
                <w:color w:val="auto"/>
              </w:rPr>
            </w:pPr>
          </w:p>
        </w:tc>
        <w:tc>
          <w:tcPr>
            <w:tcW w:w="1900" w:type="dxa"/>
            <w:vAlign w:val="bottom"/>
            <w:tcBorders>
              <w:bottom w:val="single" w:sz="8" w:color="BFE4FF"/>
              <w:right w:val="single" w:sz="8" w:color="BFE4FF"/>
            </w:tcBorders>
          </w:tcPr>
          <w:p>
            <w:pPr>
              <w:spacing w:after="0"/>
              <w:rPr>
                <w:sz w:val="24"/>
                <w:szCs w:val="24"/>
                <w:color w:val="auto"/>
              </w:rPr>
            </w:pPr>
          </w:p>
        </w:tc>
        <w:tc>
          <w:tcPr>
            <w:tcW w:w="1660" w:type="dxa"/>
            <w:vAlign w:val="bottom"/>
            <w:tcBorders>
              <w:bottom w:val="single" w:sz="8" w:color="CCEEFF"/>
              <w:right w:val="single" w:sz="8" w:color="BFE4FF"/>
            </w:tcBorders>
          </w:tcPr>
          <w:p>
            <w:pPr>
              <w:spacing w:after="0"/>
              <w:rPr>
                <w:sz w:val="24"/>
                <w:szCs w:val="24"/>
                <w:color w:val="auto"/>
              </w:rPr>
            </w:pPr>
          </w:p>
        </w:tc>
      </w:tr>
      <w:tr>
        <w:trPr>
          <w:trHeight w:val="259"/>
        </w:trPr>
        <w:tc>
          <w:tcPr>
            <w:tcW w:w="5960" w:type="dxa"/>
            <w:vAlign w:val="bottom"/>
            <w:tcBorders>
              <w:left w:val="single" w:sz="8" w:color="BFE4FF"/>
              <w:bottom w:val="single" w:sz="8" w:color="BFE4FF"/>
              <w:right w:val="single" w:sz="8" w:color="BFE4FF"/>
            </w:tcBorders>
          </w:tcPr>
          <w:p>
            <w:pPr>
              <w:ind w:left="40"/>
              <w:spacing w:after="0"/>
              <w:rPr>
                <w:sz w:val="20"/>
                <w:szCs w:val="20"/>
                <w:color w:val="auto"/>
              </w:rPr>
            </w:pPr>
            <w:r>
              <w:rPr>
                <w:rFonts w:ascii="Arial" w:cs="Arial" w:eastAsia="Arial" w:hAnsi="Arial"/>
                <w:sz w:val="20"/>
                <w:szCs w:val="20"/>
                <w:b w:val="1"/>
                <w:bCs w:val="1"/>
                <w:color w:val="auto"/>
              </w:rPr>
              <w:t>Inbound orders</w:t>
            </w:r>
          </w:p>
        </w:tc>
        <w:tc>
          <w:tcPr>
            <w:tcW w:w="1900" w:type="dxa"/>
            <w:vAlign w:val="bottom"/>
            <w:tcBorders>
              <w:bottom w:val="single" w:sz="8" w:color="BFE4FF"/>
              <w:right w:val="single" w:sz="8" w:color="BFE4FF"/>
            </w:tcBorders>
          </w:tcPr>
          <w:p>
            <w:pPr>
              <w:jc w:val="right"/>
              <w:ind w:right="266"/>
              <w:spacing w:after="0"/>
              <w:rPr>
                <w:sz w:val="20"/>
                <w:szCs w:val="20"/>
                <w:color w:val="auto"/>
              </w:rPr>
            </w:pPr>
            <w:r>
              <w:rPr>
                <w:rFonts w:ascii="Arial" w:cs="Arial" w:eastAsia="Arial" w:hAnsi="Arial"/>
                <w:sz w:val="20"/>
                <w:szCs w:val="20"/>
                <w:color w:val="auto"/>
              </w:rPr>
              <w:t>$3,647.2</w:t>
            </w:r>
          </w:p>
        </w:tc>
        <w:tc>
          <w:tcPr>
            <w:tcW w:w="1900" w:type="dxa"/>
            <w:vAlign w:val="bottom"/>
            <w:tcBorders>
              <w:bottom w:val="single" w:sz="8" w:color="BFE4FF"/>
              <w:right w:val="single" w:sz="8" w:color="BFE4FF"/>
            </w:tcBorders>
          </w:tcPr>
          <w:p>
            <w:pPr>
              <w:jc w:val="right"/>
              <w:ind w:right="266"/>
              <w:spacing w:after="0"/>
              <w:rPr>
                <w:sz w:val="20"/>
                <w:szCs w:val="20"/>
                <w:color w:val="auto"/>
              </w:rPr>
            </w:pPr>
            <w:r>
              <w:rPr>
                <w:rFonts w:ascii="Arial" w:cs="Arial" w:eastAsia="Arial" w:hAnsi="Arial"/>
                <w:sz w:val="20"/>
                <w:szCs w:val="20"/>
                <w:color w:val="auto"/>
              </w:rPr>
              <w:t>$2,461.9</w:t>
            </w:r>
          </w:p>
        </w:tc>
        <w:tc>
          <w:tcPr>
            <w:tcW w:w="1660" w:type="dxa"/>
            <w:vAlign w:val="bottom"/>
            <w:tcBorders>
              <w:bottom w:val="single" w:sz="8" w:color="BFE4FF"/>
              <w:right w:val="single" w:sz="8" w:color="BFE4FF"/>
            </w:tcBorders>
          </w:tcPr>
          <w:p>
            <w:pPr>
              <w:jc w:val="center"/>
              <w:spacing w:after="0"/>
              <w:rPr>
                <w:sz w:val="20"/>
                <w:szCs w:val="20"/>
                <w:color w:val="auto"/>
              </w:rPr>
            </w:pPr>
            <w:r>
              <w:rPr>
                <w:rFonts w:ascii="Arial" w:cs="Arial" w:eastAsia="Arial" w:hAnsi="Arial"/>
                <w:sz w:val="20"/>
                <w:szCs w:val="20"/>
                <w:color w:val="auto"/>
                <w:w w:val="98"/>
              </w:rPr>
              <w:t>48.1%</w:t>
            </w:r>
          </w:p>
        </w:tc>
      </w:tr>
      <w:tr>
        <w:trPr>
          <w:trHeight w:val="264"/>
        </w:trPr>
        <w:tc>
          <w:tcPr>
            <w:tcW w:w="5960" w:type="dxa"/>
            <w:vAlign w:val="bottom"/>
            <w:tcBorders>
              <w:left w:val="single" w:sz="8" w:color="BFE4FF"/>
              <w:bottom w:val="single" w:sz="8" w:color="BFE4FF"/>
              <w:right w:val="single" w:sz="8" w:color="BFE4FF"/>
            </w:tcBorders>
          </w:tcPr>
          <w:p>
            <w:pPr>
              <w:ind w:left="40"/>
              <w:spacing w:after="0"/>
              <w:rPr>
                <w:sz w:val="20"/>
                <w:szCs w:val="20"/>
                <w:color w:val="auto"/>
              </w:rPr>
            </w:pPr>
            <w:r>
              <w:rPr>
                <w:rFonts w:ascii="Arial" w:cs="Arial" w:eastAsia="Arial" w:hAnsi="Arial"/>
                <w:sz w:val="20"/>
                <w:szCs w:val="20"/>
                <w:b w:val="1"/>
                <w:bCs w:val="1"/>
                <w:color w:val="auto"/>
              </w:rPr>
              <w:t>Backlog</w:t>
            </w:r>
          </w:p>
        </w:tc>
        <w:tc>
          <w:tcPr>
            <w:tcW w:w="1900" w:type="dxa"/>
            <w:vAlign w:val="bottom"/>
            <w:tcBorders>
              <w:bottom w:val="single" w:sz="8" w:color="BFE4FF"/>
              <w:right w:val="single" w:sz="8" w:color="BFE4FF"/>
            </w:tcBorders>
          </w:tcPr>
          <w:p>
            <w:pPr>
              <w:jc w:val="right"/>
              <w:ind w:right="266"/>
              <w:spacing w:after="0"/>
              <w:rPr>
                <w:sz w:val="20"/>
                <w:szCs w:val="20"/>
                <w:color w:val="auto"/>
              </w:rPr>
            </w:pPr>
            <w:r>
              <w:rPr>
                <w:rFonts w:ascii="Arial" w:cs="Arial" w:eastAsia="Arial" w:hAnsi="Arial"/>
                <w:sz w:val="20"/>
                <w:szCs w:val="20"/>
                <w:color w:val="auto"/>
              </w:rPr>
              <w:t>$15,178.0</w:t>
            </w:r>
          </w:p>
        </w:tc>
        <w:tc>
          <w:tcPr>
            <w:tcW w:w="1900" w:type="dxa"/>
            <w:vAlign w:val="bottom"/>
            <w:tcBorders>
              <w:bottom w:val="single" w:sz="8" w:color="BFE4FF"/>
              <w:right w:val="single" w:sz="8" w:color="BFE4FF"/>
            </w:tcBorders>
          </w:tcPr>
          <w:p>
            <w:pPr>
              <w:jc w:val="right"/>
              <w:ind w:right="266"/>
              <w:spacing w:after="0"/>
              <w:rPr>
                <w:sz w:val="20"/>
                <w:szCs w:val="20"/>
                <w:color w:val="auto"/>
              </w:rPr>
            </w:pPr>
            <w:r>
              <w:rPr>
                <w:rFonts w:ascii="Arial" w:cs="Arial" w:eastAsia="Arial" w:hAnsi="Arial"/>
                <w:sz w:val="20"/>
                <w:szCs w:val="20"/>
                <w:color w:val="auto"/>
              </w:rPr>
              <w:t>$13,902.4</w:t>
            </w:r>
          </w:p>
        </w:tc>
        <w:tc>
          <w:tcPr>
            <w:tcW w:w="1660" w:type="dxa"/>
            <w:vAlign w:val="bottom"/>
            <w:tcBorders>
              <w:bottom w:val="single" w:sz="8" w:color="BFE4FF"/>
              <w:right w:val="single" w:sz="8" w:color="BFE4FF"/>
            </w:tcBorders>
          </w:tcPr>
          <w:p>
            <w:pPr>
              <w:jc w:val="center"/>
              <w:spacing w:after="0"/>
              <w:rPr>
                <w:sz w:val="20"/>
                <w:szCs w:val="20"/>
                <w:color w:val="auto"/>
              </w:rPr>
            </w:pPr>
            <w:r>
              <w:rPr>
                <w:rFonts w:ascii="Arial" w:cs="Arial" w:eastAsia="Arial" w:hAnsi="Arial"/>
                <w:sz w:val="20"/>
                <w:szCs w:val="20"/>
                <w:color w:val="auto"/>
                <w:w w:val="96"/>
              </w:rPr>
              <w:t>9.2%</w:t>
            </w:r>
          </w:p>
        </w:tc>
      </w:tr>
    </w:tbl>
    <w:p>
      <w:pPr>
        <w:sectPr>
          <w:pgSz w:w="11900" w:h="16838" w:orient="portrait"/>
          <w:cols w:equalWidth="0" w:num="1">
            <w:col w:w="11420"/>
          </w:cols>
          <w:pgMar w:left="240" w:top="1127" w:right="239" w:bottom="1440" w:gutter="0" w:footer="0" w:header="0"/>
        </w:sectPr>
      </w:pPr>
    </w:p>
    <w:bookmarkStart w:id="5" w:name="page6"/>
    <w:bookmarkEnd w:id="5"/>
    <w:p>
      <w:pPr>
        <w:jc w:val="both"/>
        <w:spacing w:after="0" w:line="241"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t>Doug Pferdehirt, CEO of TechnipFMC, stated, “Our third quarter results illustrate the benefit of structural cost savings and strong project delivery. This was most notable within Onshore/Offshore, where execution on key projects such as Yamal LNG has remained robust, leading to further improvement in adjusted EBITDA margin. Subsea continued to display strong operational performance. Surface Technologies results increased modestly versus the prior year despite softening completions activity in North America.”</w:t>
      </w:r>
    </w:p>
    <w:p>
      <w:pPr>
        <w:spacing w:after="0" w:line="15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“Total Company orders once again exceeded revenues, supporting a return to year-over-year growth in backlog. Total Company backlog of $15.2 billion increased 9 percent when compared to the prior-year quarter, with growth occurring in all business segments.”</w:t>
      </w:r>
    </w:p>
    <w:p>
      <w:pPr>
        <w:spacing w:after="0" w:line="152"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Pferdehirt continued, “During the quarter, we successfully delivered Train 2 of the Yamal LNG project, approximately six months ahead of schedule. LNG volume shipped to date now exceeds 5 million metric tons, a result achieved due to the project’s accelerated delivery. Construction and commissioning of Train 3 is progressing well and is on track for another early delivery.”</w:t>
      </w:r>
    </w:p>
    <w:p>
      <w:pPr>
        <w:spacing w:after="0" w:line="15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“We also successfully delivered two additional iEPCI™ projects in the third quarter - Trestakk and Visund Nord - both with Equinor on the Norwegian Continental Shelf. On Trestakk, our first awarded iEPCI™ project, we successfully delivered a fully commissioned subsea system utilizing only a single season of marine operations. Visund Nord was delivered in just 21 months from concept selection to first production; this was a new fast-track record for Equinor. An important factor in the success of these projects was the strong collaboration with our partner, Equinor, and the integrated capabilities of TechnipFMC.”</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Pferdehirt concluded, “The outlook for our three growth pillars - subsea, unconventionals, and LNG - remains favorable.”</w:t>
      </w:r>
    </w:p>
    <w:p>
      <w:pPr>
        <w:spacing w:after="0" w:line="16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“In Subsea, the recovery that began nearly two years ago continues. Our Subsea book-to-bill has exceeded 1.0 in five of the last six quarters. Final Investment Decisions (FIDs) for large projects continue to increase, supported by considerable improvement in project economics and operator cash flows. The continued increase in FEED activity further supports our favorable outlook. With the industry’s most comprehensive offering and the ability to leverage next generation technologies such as Subsea 2.0™, TechnipFMC is capitalizing on the market evolution towards integrated subsea developments.”</w:t>
      </w:r>
    </w:p>
    <w:p>
      <w:pPr>
        <w:spacing w:after="0" w:line="155" w:lineRule="exact"/>
        <w:rPr>
          <w:sz w:val="20"/>
          <w:szCs w:val="20"/>
          <w:color w:val="auto"/>
        </w:rPr>
      </w:pPr>
    </w:p>
    <w:p>
      <w:pPr>
        <w:jc w:val="both"/>
        <w:ind w:right="20"/>
        <w:spacing w:after="0" w:line="243" w:lineRule="auto"/>
        <w:rPr>
          <w:sz w:val="20"/>
          <w:szCs w:val="20"/>
          <w:color w:val="auto"/>
        </w:rPr>
      </w:pPr>
      <w:r>
        <w:rPr>
          <w:rFonts w:ascii="Arial" w:cs="Arial" w:eastAsia="Arial" w:hAnsi="Arial"/>
          <w:sz w:val="20"/>
          <w:szCs w:val="20"/>
          <w:color w:val="auto"/>
        </w:rPr>
        <w:t>“For U.S. unconventionals, the near-term uncertainty in completion activity will likely prove transitory. We believe that growth in hydrocarbon demand will continue, and the market will ultimately resolve takeaway capacity constraints. In the meantime, growth in drilled but uncompleted wells (DUCs) continues; the required completions will soon follow.”</w:t>
      </w:r>
    </w:p>
    <w:p>
      <w:pPr>
        <w:spacing w:after="0" w:line="1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LNG remains one of the fastest growing markets in the oil and gas sector. Demand growth suggests a new wave of LNG projects</w:t>
      </w:r>
      <w:r>
        <w:rPr>
          <w:rFonts w:ascii="Arial" w:cs="Arial" w:eastAsia="Arial" w:hAnsi="Arial"/>
          <w:sz w:val="18"/>
          <w:szCs w:val="18"/>
          <w:color w:val="auto"/>
        </w:rPr>
        <w:t xml:space="preserve"> </w:t>
      </w:r>
      <w:r>
        <w:rPr>
          <w:rFonts w:ascii="Arial" w:cs="Arial" w:eastAsia="Arial" w:hAnsi="Arial"/>
          <w:sz w:val="19"/>
          <w:szCs w:val="19"/>
          <w:color w:val="auto"/>
        </w:rPr>
        <w:t>will need to be sanctioned in 2019 and beyond. Our 50+ years of experience has resulted in the delivery of over 20 percent of the world’s operating capacity. We are well-positioned for this growth opportunity.”</w:t>
      </w:r>
    </w:p>
    <w:p>
      <w:pPr>
        <w:sectPr>
          <w:pgSz w:w="11900" w:h="16838" w:orient="portrait"/>
          <w:cols w:equalWidth="0" w:num="1">
            <w:col w:w="11420"/>
          </w:cols>
          <w:pgMar w:left="240" w:top="1027" w:right="2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Operational and Financial Highlights - Third Quarter 2018</w:t>
      </w:r>
    </w:p>
    <w:p>
      <w:pPr>
        <w:spacing w:after="0" w:line="324"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Subsea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Highlights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of U.S. GAAP to non-GAAP financial measures are detailed below and in the financial schedules.</w:t>
      </w:r>
    </w:p>
    <w:p>
      <w:pPr>
        <w:spacing w:after="0" w:line="287" w:lineRule="exact"/>
        <w:rPr>
          <w:sz w:val="20"/>
          <w:szCs w:val="20"/>
          <w:color w:val="auto"/>
        </w:rPr>
      </w:pPr>
    </w:p>
    <w:tbl>
      <w:tblPr>
        <w:tblLayout w:type="fixed"/>
        <w:tblInd w:w="10" w:type="dxa"/>
        <w:tblCellMar>
          <w:top w:w="0" w:type="dxa"/>
          <w:left w:w="0" w:type="dxa"/>
          <w:bottom w:w="0" w:type="dxa"/>
          <w:right w:w="0" w:type="dxa"/>
        </w:tblCellMar>
      </w:tblPr>
      <w:tr>
        <w:trPr>
          <w:trHeight w:val="245"/>
        </w:trPr>
        <w:tc>
          <w:tcPr>
            <w:tcW w:w="5980" w:type="dxa"/>
            <w:vAlign w:val="bottom"/>
            <w:tcBorders>
              <w:top w:val="single" w:sz="8" w:color="BFE4FF"/>
              <w:left w:val="single" w:sz="8" w:color="BFE4FF"/>
              <w:right w:val="single" w:sz="8" w:color="BFE4FF"/>
            </w:tcBorders>
          </w:tcPr>
          <w:p>
            <w:pPr>
              <w:spacing w:after="0"/>
              <w:rPr>
                <w:sz w:val="21"/>
                <w:szCs w:val="21"/>
                <w:color w:val="auto"/>
              </w:rPr>
            </w:pPr>
          </w:p>
        </w:tc>
        <w:tc>
          <w:tcPr>
            <w:tcW w:w="1880" w:type="dxa"/>
            <w:vAlign w:val="bottom"/>
            <w:tcBorders>
              <w:top w:val="single" w:sz="8" w:color="BFE4FF"/>
              <w:right w:val="single" w:sz="8" w:color="BFE4FF"/>
            </w:tcBorders>
          </w:tcPr>
          <w:p>
            <w:pPr>
              <w:jc w:val="right"/>
              <w:ind w:right="148"/>
              <w:spacing w:after="0"/>
              <w:rPr>
                <w:sz w:val="20"/>
                <w:szCs w:val="20"/>
                <w:color w:val="auto"/>
              </w:rPr>
            </w:pPr>
            <w:r>
              <w:rPr>
                <w:rFonts w:ascii="Arial" w:cs="Arial" w:eastAsia="Arial" w:hAnsi="Arial"/>
                <w:sz w:val="14"/>
                <w:szCs w:val="14"/>
                <w:b w:val="1"/>
                <w:bCs w:val="1"/>
                <w:color w:val="auto"/>
              </w:rPr>
              <w:t>Three Months Ended</w:t>
            </w:r>
          </w:p>
        </w:tc>
        <w:tc>
          <w:tcPr>
            <w:tcW w:w="1900" w:type="dxa"/>
            <w:vAlign w:val="bottom"/>
            <w:tcBorders>
              <w:top w:val="single" w:sz="8" w:color="BFE4FF"/>
              <w:right w:val="single" w:sz="8" w:color="BFE4FF"/>
            </w:tcBorders>
          </w:tcPr>
          <w:p>
            <w:pPr>
              <w:jc w:val="right"/>
              <w:ind w:right="148"/>
              <w:spacing w:after="0"/>
              <w:rPr>
                <w:sz w:val="20"/>
                <w:szCs w:val="20"/>
                <w:color w:val="auto"/>
              </w:rPr>
            </w:pPr>
            <w:r>
              <w:rPr>
                <w:rFonts w:ascii="Arial" w:cs="Arial" w:eastAsia="Arial" w:hAnsi="Arial"/>
                <w:sz w:val="14"/>
                <w:szCs w:val="14"/>
                <w:b w:val="1"/>
                <w:bCs w:val="1"/>
                <w:color w:val="auto"/>
              </w:rPr>
              <w:t>Three Months Ended</w:t>
            </w:r>
          </w:p>
        </w:tc>
        <w:tc>
          <w:tcPr>
            <w:tcW w:w="1660" w:type="dxa"/>
            <w:vAlign w:val="bottom"/>
            <w:tcBorders>
              <w:top w:val="single" w:sz="8" w:color="BFE4FF"/>
              <w:right w:val="single" w:sz="8" w:color="BFE4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80" w:type="dxa"/>
            <w:vAlign w:val="bottom"/>
            <w:tcBorders>
              <w:left w:val="single" w:sz="8" w:color="BFE4FF"/>
              <w:right w:val="single" w:sz="8" w:color="BFE4FF"/>
            </w:tcBorders>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880" w:type="dxa"/>
            <w:vAlign w:val="bottom"/>
            <w:tcBorders>
              <w:right w:val="single" w:sz="8" w:color="BFE4FF"/>
            </w:tcBorders>
          </w:tcPr>
          <w:p>
            <w:pPr>
              <w:jc w:val="right"/>
              <w:ind w:right="188"/>
              <w:spacing w:after="0"/>
              <w:rPr>
                <w:sz w:val="20"/>
                <w:szCs w:val="20"/>
                <w:color w:val="auto"/>
              </w:rPr>
            </w:pPr>
            <w:r>
              <w:rPr>
                <w:rFonts w:ascii="Arial" w:cs="Arial" w:eastAsia="Arial" w:hAnsi="Arial"/>
                <w:sz w:val="14"/>
                <w:szCs w:val="14"/>
                <w:b w:val="1"/>
                <w:bCs w:val="1"/>
                <w:color w:val="auto"/>
              </w:rPr>
              <w:t>September 30, 2018</w:t>
            </w:r>
          </w:p>
        </w:tc>
        <w:tc>
          <w:tcPr>
            <w:tcW w:w="1900" w:type="dxa"/>
            <w:vAlign w:val="bottom"/>
            <w:tcBorders>
              <w:right w:val="single" w:sz="8" w:color="BFE4FF"/>
            </w:tcBorders>
          </w:tcPr>
          <w:p>
            <w:pPr>
              <w:jc w:val="right"/>
              <w:ind w:right="188"/>
              <w:spacing w:after="0"/>
              <w:rPr>
                <w:sz w:val="20"/>
                <w:szCs w:val="20"/>
                <w:color w:val="auto"/>
              </w:rPr>
            </w:pPr>
            <w:r>
              <w:rPr>
                <w:rFonts w:ascii="Arial" w:cs="Arial" w:eastAsia="Arial" w:hAnsi="Arial"/>
                <w:sz w:val="14"/>
                <w:szCs w:val="14"/>
                <w:b w:val="1"/>
                <w:bCs w:val="1"/>
                <w:color w:val="auto"/>
              </w:rPr>
              <w:t>September 30, 2017</w:t>
            </w:r>
          </w:p>
        </w:tc>
        <w:tc>
          <w:tcPr>
            <w:tcW w:w="1660" w:type="dxa"/>
            <w:vAlign w:val="bottom"/>
            <w:tcBorders>
              <w:right w:val="single" w:sz="8" w:color="BFE4FF"/>
            </w:tcBorders>
            <w:vMerge w:val="restart"/>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81"/>
        </w:trPr>
        <w:tc>
          <w:tcPr>
            <w:tcW w:w="5980" w:type="dxa"/>
            <w:vAlign w:val="bottom"/>
            <w:tcBorders>
              <w:left w:val="single" w:sz="8" w:color="BFE4FF"/>
              <w:right w:val="single" w:sz="8" w:color="BFE4FF"/>
            </w:tcBorders>
            <w:vMerge w:val="continue"/>
          </w:tcPr>
          <w:p>
            <w:pPr>
              <w:spacing w:after="0"/>
              <w:rPr>
                <w:sz w:val="7"/>
                <w:szCs w:val="7"/>
                <w:color w:val="auto"/>
              </w:rPr>
            </w:pPr>
          </w:p>
        </w:tc>
        <w:tc>
          <w:tcPr>
            <w:tcW w:w="1880" w:type="dxa"/>
            <w:vAlign w:val="bottom"/>
            <w:tcBorders>
              <w:right w:val="single" w:sz="8" w:color="BFE4FF"/>
            </w:tcBorders>
          </w:tcPr>
          <w:p>
            <w:pPr>
              <w:spacing w:after="0"/>
              <w:rPr>
                <w:sz w:val="7"/>
                <w:szCs w:val="7"/>
                <w:color w:val="auto"/>
              </w:rPr>
            </w:pPr>
          </w:p>
        </w:tc>
        <w:tc>
          <w:tcPr>
            <w:tcW w:w="1900" w:type="dxa"/>
            <w:vAlign w:val="bottom"/>
            <w:tcBorders>
              <w:right w:val="single" w:sz="8" w:color="BFE4FF"/>
            </w:tcBorders>
          </w:tcPr>
          <w:p>
            <w:pPr>
              <w:spacing w:after="0"/>
              <w:rPr>
                <w:sz w:val="7"/>
                <w:szCs w:val="7"/>
                <w:color w:val="auto"/>
              </w:rPr>
            </w:pPr>
          </w:p>
        </w:tc>
        <w:tc>
          <w:tcPr>
            <w:tcW w:w="1660" w:type="dxa"/>
            <w:vAlign w:val="bottom"/>
            <w:tcBorders>
              <w:right w:val="single" w:sz="8" w:color="BFE4FF"/>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5980" w:type="dxa"/>
            <w:vAlign w:val="bottom"/>
            <w:tcBorders>
              <w:left w:val="single" w:sz="8" w:color="BFE4FF"/>
              <w:bottom w:val="single" w:sz="8" w:color="BFE4FF"/>
              <w:right w:val="single" w:sz="8" w:color="BFE4FF"/>
            </w:tcBorders>
          </w:tcPr>
          <w:p>
            <w:pPr>
              <w:spacing w:after="0"/>
              <w:rPr>
                <w:sz w:val="9"/>
                <w:szCs w:val="9"/>
                <w:color w:val="auto"/>
              </w:rPr>
            </w:pPr>
          </w:p>
        </w:tc>
        <w:tc>
          <w:tcPr>
            <w:tcW w:w="1880" w:type="dxa"/>
            <w:vAlign w:val="bottom"/>
            <w:tcBorders>
              <w:bottom w:val="single" w:sz="8" w:color="BFE4FF"/>
              <w:right w:val="single" w:sz="8" w:color="BFE4FF"/>
            </w:tcBorders>
          </w:tcPr>
          <w:p>
            <w:pPr>
              <w:spacing w:after="0"/>
              <w:rPr>
                <w:sz w:val="9"/>
                <w:szCs w:val="9"/>
                <w:color w:val="auto"/>
              </w:rPr>
            </w:pPr>
          </w:p>
        </w:tc>
        <w:tc>
          <w:tcPr>
            <w:tcW w:w="1900" w:type="dxa"/>
            <w:vAlign w:val="bottom"/>
            <w:tcBorders>
              <w:bottom w:val="single" w:sz="8" w:color="BFE4FF"/>
              <w:right w:val="single" w:sz="8" w:color="BFE4FF"/>
            </w:tcBorders>
          </w:tcPr>
          <w:p>
            <w:pPr>
              <w:spacing w:after="0"/>
              <w:rPr>
                <w:sz w:val="9"/>
                <w:szCs w:val="9"/>
                <w:color w:val="auto"/>
              </w:rPr>
            </w:pPr>
          </w:p>
        </w:tc>
        <w:tc>
          <w:tcPr>
            <w:tcW w:w="1660" w:type="dxa"/>
            <w:vAlign w:val="bottom"/>
            <w:tcBorders>
              <w:bottom w:val="single" w:sz="8" w:color="BFE4FF"/>
              <w:right w:val="single" w:sz="8" w:color="BFE4FF"/>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5980" w:type="dxa"/>
            <w:vAlign w:val="bottom"/>
            <w:tcBorders>
              <w:left w:val="single" w:sz="8" w:color="BFE4FF"/>
              <w:bottom w:val="single" w:sz="8" w:color="BFE4FF"/>
              <w:right w:val="single" w:sz="8" w:color="BFE4FF"/>
            </w:tcBorders>
          </w:tcPr>
          <w:p>
            <w:pPr>
              <w:ind w:left="40"/>
              <w:spacing w:after="0"/>
              <w:rPr>
                <w:sz w:val="20"/>
                <w:szCs w:val="20"/>
                <w:color w:val="auto"/>
              </w:rPr>
            </w:pPr>
            <w:r>
              <w:rPr>
                <w:rFonts w:ascii="Arial" w:cs="Arial" w:eastAsia="Arial" w:hAnsi="Arial"/>
                <w:sz w:val="20"/>
                <w:szCs w:val="20"/>
                <w:b w:val="1"/>
                <w:bCs w:val="1"/>
                <w:color w:val="auto"/>
              </w:rPr>
              <w:t>Revenue</w:t>
            </w:r>
          </w:p>
        </w:tc>
        <w:tc>
          <w:tcPr>
            <w:tcW w:w="1880" w:type="dxa"/>
            <w:vAlign w:val="bottom"/>
            <w:tcBorders>
              <w:bottom w:val="single" w:sz="8" w:color="BFE4FF"/>
              <w:right w:val="single" w:sz="8" w:color="BFE4FF"/>
            </w:tcBorders>
          </w:tcPr>
          <w:p>
            <w:pPr>
              <w:jc w:val="right"/>
              <w:ind w:right="268"/>
              <w:spacing w:after="0"/>
              <w:rPr>
                <w:sz w:val="20"/>
                <w:szCs w:val="20"/>
                <w:color w:val="auto"/>
              </w:rPr>
            </w:pPr>
            <w:r>
              <w:rPr>
                <w:rFonts w:ascii="Arial" w:cs="Arial" w:eastAsia="Arial" w:hAnsi="Arial"/>
                <w:sz w:val="20"/>
                <w:szCs w:val="20"/>
                <w:color w:val="auto"/>
              </w:rPr>
              <w:t>$1,209.1</w:t>
            </w:r>
          </w:p>
        </w:tc>
        <w:tc>
          <w:tcPr>
            <w:tcW w:w="1900" w:type="dxa"/>
            <w:vAlign w:val="bottom"/>
            <w:tcBorders>
              <w:bottom w:val="single" w:sz="8" w:color="BFE4FF"/>
              <w:right w:val="single" w:sz="8" w:color="BFE4FF"/>
            </w:tcBorders>
          </w:tcPr>
          <w:p>
            <w:pPr>
              <w:jc w:val="right"/>
              <w:ind w:right="268"/>
              <w:spacing w:after="0"/>
              <w:rPr>
                <w:sz w:val="20"/>
                <w:szCs w:val="20"/>
                <w:color w:val="auto"/>
              </w:rPr>
            </w:pPr>
            <w:r>
              <w:rPr>
                <w:rFonts w:ascii="Arial" w:cs="Arial" w:eastAsia="Arial" w:hAnsi="Arial"/>
                <w:sz w:val="20"/>
                <w:szCs w:val="20"/>
                <w:color w:val="auto"/>
              </w:rPr>
              <w:t>$1,478.2</w:t>
            </w:r>
          </w:p>
        </w:tc>
        <w:tc>
          <w:tcPr>
            <w:tcW w:w="1660" w:type="dxa"/>
            <w:vAlign w:val="bottom"/>
            <w:tcBorders>
              <w:bottom w:val="single" w:sz="8" w:color="CCEEFF"/>
              <w:right w:val="single" w:sz="8" w:color="BFE4FF"/>
            </w:tcBorders>
          </w:tcPr>
          <w:p>
            <w:pPr>
              <w:jc w:val="center"/>
              <w:spacing w:after="0"/>
              <w:rPr>
                <w:sz w:val="20"/>
                <w:szCs w:val="20"/>
                <w:color w:val="auto"/>
              </w:rPr>
            </w:pPr>
            <w:r>
              <w:rPr>
                <w:rFonts w:ascii="Arial" w:cs="Arial" w:eastAsia="Arial" w:hAnsi="Arial"/>
                <w:sz w:val="20"/>
                <w:szCs w:val="20"/>
                <w:color w:val="auto"/>
                <w:w w:val="97"/>
              </w:rPr>
              <w:t>(18.2%)</w:t>
            </w:r>
          </w:p>
        </w:tc>
        <w:tc>
          <w:tcPr>
            <w:tcW w:w="0" w:type="dxa"/>
            <w:vAlign w:val="bottom"/>
          </w:tcPr>
          <w:p>
            <w:pPr>
              <w:spacing w:after="0"/>
              <w:rPr>
                <w:sz w:val="1"/>
                <w:szCs w:val="1"/>
                <w:color w:val="auto"/>
              </w:rPr>
            </w:pPr>
          </w:p>
        </w:tc>
      </w:tr>
      <w:tr>
        <w:trPr>
          <w:trHeight w:val="264"/>
        </w:trPr>
        <w:tc>
          <w:tcPr>
            <w:tcW w:w="5980" w:type="dxa"/>
            <w:vAlign w:val="bottom"/>
            <w:tcBorders>
              <w:left w:val="single" w:sz="8" w:color="BFE4FF"/>
              <w:bottom w:val="single" w:sz="8" w:color="BFE4FF"/>
              <w:right w:val="single" w:sz="8" w:color="BFE4FF"/>
            </w:tcBorders>
          </w:tcPr>
          <w:p>
            <w:pPr>
              <w:ind w:left="40"/>
              <w:spacing w:after="0"/>
              <w:rPr>
                <w:sz w:val="20"/>
                <w:szCs w:val="20"/>
                <w:color w:val="auto"/>
              </w:rPr>
            </w:pPr>
            <w:r>
              <w:rPr>
                <w:rFonts w:ascii="Arial" w:cs="Arial" w:eastAsia="Arial" w:hAnsi="Arial"/>
                <w:sz w:val="20"/>
                <w:szCs w:val="20"/>
                <w:b w:val="1"/>
                <w:bCs w:val="1"/>
                <w:color w:val="auto"/>
              </w:rPr>
              <w:t>Operating profit</w:t>
            </w:r>
          </w:p>
        </w:tc>
        <w:tc>
          <w:tcPr>
            <w:tcW w:w="1880" w:type="dxa"/>
            <w:vAlign w:val="bottom"/>
            <w:tcBorders>
              <w:bottom w:val="single" w:sz="8" w:color="BFE4FF"/>
              <w:right w:val="single" w:sz="8" w:color="BFE4FF"/>
            </w:tcBorders>
          </w:tcPr>
          <w:p>
            <w:pPr>
              <w:jc w:val="right"/>
              <w:ind w:right="268"/>
              <w:spacing w:after="0"/>
              <w:rPr>
                <w:sz w:val="20"/>
                <w:szCs w:val="20"/>
                <w:color w:val="auto"/>
              </w:rPr>
            </w:pPr>
            <w:r>
              <w:rPr>
                <w:rFonts w:ascii="Arial" w:cs="Arial" w:eastAsia="Arial" w:hAnsi="Arial"/>
                <w:sz w:val="20"/>
                <w:szCs w:val="20"/>
                <w:color w:val="auto"/>
              </w:rPr>
              <w:t>$79.7</w:t>
            </w:r>
          </w:p>
        </w:tc>
        <w:tc>
          <w:tcPr>
            <w:tcW w:w="1900" w:type="dxa"/>
            <w:vAlign w:val="bottom"/>
            <w:tcBorders>
              <w:bottom w:val="single" w:sz="8" w:color="BFE4FF"/>
              <w:right w:val="single" w:sz="8" w:color="BFE4FF"/>
            </w:tcBorders>
          </w:tcPr>
          <w:p>
            <w:pPr>
              <w:jc w:val="right"/>
              <w:ind w:right="268"/>
              <w:spacing w:after="0"/>
              <w:rPr>
                <w:sz w:val="20"/>
                <w:szCs w:val="20"/>
                <w:color w:val="auto"/>
              </w:rPr>
            </w:pPr>
            <w:r>
              <w:rPr>
                <w:rFonts w:ascii="Arial" w:cs="Arial" w:eastAsia="Arial" w:hAnsi="Arial"/>
                <w:sz w:val="20"/>
                <w:szCs w:val="20"/>
                <w:color w:val="auto"/>
              </w:rPr>
              <w:t>$102.8</w:t>
            </w:r>
          </w:p>
        </w:tc>
        <w:tc>
          <w:tcPr>
            <w:tcW w:w="1660" w:type="dxa"/>
            <w:vAlign w:val="bottom"/>
            <w:tcBorders>
              <w:bottom w:val="single" w:sz="8" w:color="CCEEFF"/>
              <w:right w:val="single" w:sz="8" w:color="BFE4FF"/>
            </w:tcBorders>
          </w:tcPr>
          <w:p>
            <w:pPr>
              <w:jc w:val="center"/>
              <w:spacing w:after="0"/>
              <w:rPr>
                <w:sz w:val="20"/>
                <w:szCs w:val="20"/>
                <w:color w:val="auto"/>
              </w:rPr>
            </w:pPr>
            <w:r>
              <w:rPr>
                <w:rFonts w:ascii="Arial" w:cs="Arial" w:eastAsia="Arial" w:hAnsi="Arial"/>
                <w:sz w:val="20"/>
                <w:szCs w:val="20"/>
                <w:color w:val="auto"/>
                <w:w w:val="97"/>
              </w:rPr>
              <w:t>(22.5%)</w:t>
            </w:r>
          </w:p>
        </w:tc>
        <w:tc>
          <w:tcPr>
            <w:tcW w:w="0" w:type="dxa"/>
            <w:vAlign w:val="bottom"/>
          </w:tcPr>
          <w:p>
            <w:pPr>
              <w:spacing w:after="0"/>
              <w:rPr>
                <w:sz w:val="1"/>
                <w:szCs w:val="1"/>
                <w:color w:val="auto"/>
              </w:rPr>
            </w:pPr>
          </w:p>
        </w:tc>
      </w:tr>
      <w:tr>
        <w:trPr>
          <w:trHeight w:val="264"/>
        </w:trPr>
        <w:tc>
          <w:tcPr>
            <w:tcW w:w="5980" w:type="dxa"/>
            <w:vAlign w:val="bottom"/>
            <w:tcBorders>
              <w:left w:val="single" w:sz="8" w:color="BFE4FF"/>
              <w:bottom w:val="single" w:sz="8" w:color="BFE4FF"/>
              <w:right w:val="single" w:sz="8" w:color="BFE4FF"/>
            </w:tcBorders>
          </w:tcPr>
          <w:p>
            <w:pPr>
              <w:ind w:left="40"/>
              <w:spacing w:after="0"/>
              <w:rPr>
                <w:sz w:val="20"/>
                <w:szCs w:val="20"/>
                <w:color w:val="auto"/>
              </w:rPr>
            </w:pPr>
            <w:r>
              <w:rPr>
                <w:rFonts w:ascii="Arial" w:cs="Arial" w:eastAsia="Arial" w:hAnsi="Arial"/>
                <w:sz w:val="20"/>
                <w:szCs w:val="20"/>
                <w:b w:val="1"/>
                <w:bCs w:val="1"/>
                <w:color w:val="auto"/>
              </w:rPr>
              <w:t>Adjusted EBITDA</w:t>
            </w:r>
          </w:p>
        </w:tc>
        <w:tc>
          <w:tcPr>
            <w:tcW w:w="1880" w:type="dxa"/>
            <w:vAlign w:val="bottom"/>
            <w:tcBorders>
              <w:bottom w:val="single" w:sz="8" w:color="BFE4FF"/>
              <w:right w:val="single" w:sz="8" w:color="BFE4FF"/>
            </w:tcBorders>
          </w:tcPr>
          <w:p>
            <w:pPr>
              <w:jc w:val="right"/>
              <w:ind w:right="268"/>
              <w:spacing w:after="0"/>
              <w:rPr>
                <w:sz w:val="20"/>
                <w:szCs w:val="20"/>
                <w:color w:val="auto"/>
              </w:rPr>
            </w:pPr>
            <w:r>
              <w:rPr>
                <w:rFonts w:ascii="Arial" w:cs="Arial" w:eastAsia="Arial" w:hAnsi="Arial"/>
                <w:sz w:val="20"/>
                <w:szCs w:val="20"/>
                <w:color w:val="auto"/>
              </w:rPr>
              <w:t>$188.5</w:t>
            </w:r>
          </w:p>
        </w:tc>
        <w:tc>
          <w:tcPr>
            <w:tcW w:w="1900" w:type="dxa"/>
            <w:vAlign w:val="bottom"/>
            <w:tcBorders>
              <w:bottom w:val="single" w:sz="8" w:color="BFE4FF"/>
              <w:right w:val="single" w:sz="8" w:color="BFE4FF"/>
            </w:tcBorders>
          </w:tcPr>
          <w:p>
            <w:pPr>
              <w:jc w:val="right"/>
              <w:ind w:right="268"/>
              <w:spacing w:after="0"/>
              <w:rPr>
                <w:sz w:val="20"/>
                <w:szCs w:val="20"/>
                <w:color w:val="auto"/>
              </w:rPr>
            </w:pPr>
            <w:r>
              <w:rPr>
                <w:rFonts w:ascii="Arial" w:cs="Arial" w:eastAsia="Arial" w:hAnsi="Arial"/>
                <w:sz w:val="20"/>
                <w:szCs w:val="20"/>
                <w:color w:val="auto"/>
              </w:rPr>
              <w:t>$260.4</w:t>
            </w:r>
          </w:p>
        </w:tc>
        <w:tc>
          <w:tcPr>
            <w:tcW w:w="1660" w:type="dxa"/>
            <w:vAlign w:val="bottom"/>
            <w:tcBorders>
              <w:bottom w:val="single" w:sz="8" w:color="CCEEFF"/>
              <w:right w:val="single" w:sz="8" w:color="BFE4FF"/>
            </w:tcBorders>
          </w:tcPr>
          <w:p>
            <w:pPr>
              <w:jc w:val="center"/>
              <w:spacing w:after="0"/>
              <w:rPr>
                <w:sz w:val="20"/>
                <w:szCs w:val="20"/>
                <w:color w:val="auto"/>
              </w:rPr>
            </w:pPr>
            <w:r>
              <w:rPr>
                <w:rFonts w:ascii="Arial" w:cs="Arial" w:eastAsia="Arial" w:hAnsi="Arial"/>
                <w:sz w:val="20"/>
                <w:szCs w:val="20"/>
                <w:color w:val="auto"/>
                <w:w w:val="97"/>
              </w:rPr>
              <w:t>(27.6%)</w:t>
            </w:r>
          </w:p>
        </w:tc>
        <w:tc>
          <w:tcPr>
            <w:tcW w:w="0" w:type="dxa"/>
            <w:vAlign w:val="bottom"/>
          </w:tcPr>
          <w:p>
            <w:pPr>
              <w:spacing w:after="0"/>
              <w:rPr>
                <w:sz w:val="1"/>
                <w:szCs w:val="1"/>
                <w:color w:val="auto"/>
              </w:rPr>
            </w:pPr>
          </w:p>
        </w:tc>
      </w:tr>
      <w:tr>
        <w:trPr>
          <w:trHeight w:val="264"/>
        </w:trPr>
        <w:tc>
          <w:tcPr>
            <w:tcW w:w="5980" w:type="dxa"/>
            <w:vAlign w:val="bottom"/>
            <w:tcBorders>
              <w:left w:val="single" w:sz="8" w:color="BFE4FF"/>
              <w:bottom w:val="single" w:sz="8" w:color="BFE4FF"/>
              <w:right w:val="single" w:sz="8" w:color="BFE4FF"/>
            </w:tcBorders>
          </w:tcPr>
          <w:p>
            <w:pPr>
              <w:ind w:left="40"/>
              <w:spacing w:after="0"/>
              <w:rPr>
                <w:sz w:val="20"/>
                <w:szCs w:val="20"/>
                <w:color w:val="auto"/>
              </w:rPr>
            </w:pPr>
            <w:r>
              <w:rPr>
                <w:rFonts w:ascii="Arial" w:cs="Arial" w:eastAsia="Arial" w:hAnsi="Arial"/>
                <w:sz w:val="20"/>
                <w:szCs w:val="20"/>
                <w:b w:val="1"/>
                <w:bCs w:val="1"/>
                <w:color w:val="auto"/>
              </w:rPr>
              <w:t>Adjusted EBITDA margin</w:t>
            </w:r>
          </w:p>
        </w:tc>
        <w:tc>
          <w:tcPr>
            <w:tcW w:w="1880" w:type="dxa"/>
            <w:vAlign w:val="bottom"/>
            <w:tcBorders>
              <w:bottom w:val="single" w:sz="8" w:color="BFE4FF"/>
              <w:right w:val="single" w:sz="8" w:color="BFE4FF"/>
            </w:tcBorders>
          </w:tcPr>
          <w:p>
            <w:pPr>
              <w:jc w:val="right"/>
              <w:ind w:right="108"/>
              <w:spacing w:after="0"/>
              <w:rPr>
                <w:sz w:val="20"/>
                <w:szCs w:val="20"/>
                <w:color w:val="auto"/>
              </w:rPr>
            </w:pPr>
            <w:r>
              <w:rPr>
                <w:rFonts w:ascii="Arial" w:cs="Arial" w:eastAsia="Arial" w:hAnsi="Arial"/>
                <w:sz w:val="20"/>
                <w:szCs w:val="20"/>
                <w:color w:val="auto"/>
              </w:rPr>
              <w:t>15.6%</w:t>
            </w:r>
          </w:p>
        </w:tc>
        <w:tc>
          <w:tcPr>
            <w:tcW w:w="1900" w:type="dxa"/>
            <w:vAlign w:val="bottom"/>
            <w:tcBorders>
              <w:bottom w:val="single" w:sz="8" w:color="BFE4FF"/>
              <w:right w:val="single" w:sz="8" w:color="BFE4FF"/>
            </w:tcBorders>
          </w:tcPr>
          <w:p>
            <w:pPr>
              <w:jc w:val="right"/>
              <w:ind w:right="88"/>
              <w:spacing w:after="0"/>
              <w:rPr>
                <w:sz w:val="20"/>
                <w:szCs w:val="20"/>
                <w:color w:val="auto"/>
              </w:rPr>
            </w:pPr>
            <w:r>
              <w:rPr>
                <w:rFonts w:ascii="Arial" w:cs="Arial" w:eastAsia="Arial" w:hAnsi="Arial"/>
                <w:sz w:val="20"/>
                <w:szCs w:val="20"/>
                <w:color w:val="auto"/>
              </w:rPr>
              <w:t>17.6%</w:t>
            </w:r>
          </w:p>
        </w:tc>
        <w:tc>
          <w:tcPr>
            <w:tcW w:w="1660" w:type="dxa"/>
            <w:vAlign w:val="bottom"/>
            <w:tcBorders>
              <w:bottom w:val="single" w:sz="8" w:color="BFE4FF"/>
              <w:right w:val="single" w:sz="8" w:color="BFE4FF"/>
            </w:tcBorders>
          </w:tcPr>
          <w:p>
            <w:pPr>
              <w:jc w:val="center"/>
              <w:spacing w:after="0"/>
              <w:rPr>
                <w:sz w:val="20"/>
                <w:szCs w:val="20"/>
                <w:color w:val="auto"/>
              </w:rPr>
            </w:pPr>
            <w:r>
              <w:rPr>
                <w:rFonts w:ascii="Arial" w:cs="Arial" w:eastAsia="Arial" w:hAnsi="Arial"/>
                <w:sz w:val="20"/>
                <w:szCs w:val="20"/>
                <w:color w:val="auto"/>
                <w:w w:val="99"/>
              </w:rPr>
              <w:t>(203 bps)</w:t>
            </w:r>
          </w:p>
        </w:tc>
        <w:tc>
          <w:tcPr>
            <w:tcW w:w="0" w:type="dxa"/>
            <w:vAlign w:val="bottom"/>
          </w:tcPr>
          <w:p>
            <w:pPr>
              <w:spacing w:after="0"/>
              <w:rPr>
                <w:sz w:val="1"/>
                <w:szCs w:val="1"/>
                <w:color w:val="auto"/>
              </w:rPr>
            </w:pPr>
          </w:p>
        </w:tc>
      </w:tr>
      <w:tr>
        <w:trPr>
          <w:trHeight w:val="322"/>
        </w:trPr>
        <w:tc>
          <w:tcPr>
            <w:tcW w:w="5980" w:type="dxa"/>
            <w:vAlign w:val="bottom"/>
            <w:tcBorders>
              <w:left w:val="single" w:sz="8" w:color="BFE4FF"/>
              <w:bottom w:val="single" w:sz="8" w:color="BFE4FF"/>
              <w:right w:val="single" w:sz="8" w:color="BFE4FF"/>
            </w:tcBorders>
          </w:tcPr>
          <w:p>
            <w:pPr>
              <w:spacing w:after="0"/>
              <w:rPr>
                <w:sz w:val="24"/>
                <w:szCs w:val="24"/>
                <w:color w:val="auto"/>
              </w:rPr>
            </w:pPr>
          </w:p>
        </w:tc>
        <w:tc>
          <w:tcPr>
            <w:tcW w:w="1880" w:type="dxa"/>
            <w:vAlign w:val="bottom"/>
            <w:tcBorders>
              <w:bottom w:val="single" w:sz="8" w:color="BFE4FF"/>
              <w:right w:val="single" w:sz="8" w:color="BFE4FF"/>
            </w:tcBorders>
          </w:tcPr>
          <w:p>
            <w:pPr>
              <w:spacing w:after="0"/>
              <w:rPr>
                <w:sz w:val="24"/>
                <w:szCs w:val="24"/>
                <w:color w:val="auto"/>
              </w:rPr>
            </w:pPr>
          </w:p>
        </w:tc>
        <w:tc>
          <w:tcPr>
            <w:tcW w:w="1900" w:type="dxa"/>
            <w:vAlign w:val="bottom"/>
            <w:tcBorders>
              <w:bottom w:val="single" w:sz="8" w:color="BFE4FF"/>
              <w:right w:val="single" w:sz="8" w:color="BFE4FF"/>
            </w:tcBorders>
          </w:tcPr>
          <w:p>
            <w:pPr>
              <w:spacing w:after="0"/>
              <w:rPr>
                <w:sz w:val="24"/>
                <w:szCs w:val="24"/>
                <w:color w:val="auto"/>
              </w:rPr>
            </w:pPr>
          </w:p>
        </w:tc>
        <w:tc>
          <w:tcPr>
            <w:tcW w:w="1660" w:type="dxa"/>
            <w:vAlign w:val="bottom"/>
            <w:tcBorders>
              <w:bottom w:val="single" w:sz="8" w:color="CCEEFF"/>
              <w:right w:val="single" w:sz="8" w:color="BFE4FF"/>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5980" w:type="dxa"/>
            <w:vAlign w:val="bottom"/>
            <w:tcBorders>
              <w:left w:val="single" w:sz="8" w:color="BFE4FF"/>
              <w:bottom w:val="single" w:sz="8" w:color="BFE4FF"/>
              <w:right w:val="single" w:sz="8" w:color="BFE4FF"/>
            </w:tcBorders>
          </w:tcPr>
          <w:p>
            <w:pPr>
              <w:ind w:left="40"/>
              <w:spacing w:after="0"/>
              <w:rPr>
                <w:sz w:val="20"/>
                <w:szCs w:val="20"/>
                <w:color w:val="auto"/>
              </w:rPr>
            </w:pPr>
            <w:r>
              <w:rPr>
                <w:rFonts w:ascii="Arial" w:cs="Arial" w:eastAsia="Arial" w:hAnsi="Arial"/>
                <w:sz w:val="20"/>
                <w:szCs w:val="20"/>
                <w:b w:val="1"/>
                <w:bCs w:val="1"/>
                <w:color w:val="auto"/>
              </w:rPr>
              <w:t>Inbound orders</w:t>
            </w:r>
          </w:p>
        </w:tc>
        <w:tc>
          <w:tcPr>
            <w:tcW w:w="1880" w:type="dxa"/>
            <w:vAlign w:val="bottom"/>
            <w:tcBorders>
              <w:bottom w:val="single" w:sz="8" w:color="BFE4FF"/>
              <w:right w:val="single" w:sz="8" w:color="BFE4FF"/>
            </w:tcBorders>
          </w:tcPr>
          <w:p>
            <w:pPr>
              <w:jc w:val="right"/>
              <w:ind w:right="268"/>
              <w:spacing w:after="0"/>
              <w:rPr>
                <w:sz w:val="20"/>
                <w:szCs w:val="20"/>
                <w:color w:val="auto"/>
              </w:rPr>
            </w:pPr>
            <w:r>
              <w:rPr>
                <w:rFonts w:ascii="Arial" w:cs="Arial" w:eastAsia="Arial" w:hAnsi="Arial"/>
                <w:sz w:val="20"/>
                <w:szCs w:val="20"/>
                <w:color w:val="auto"/>
              </w:rPr>
              <w:t>$1,553.9</w:t>
            </w:r>
          </w:p>
        </w:tc>
        <w:tc>
          <w:tcPr>
            <w:tcW w:w="1900" w:type="dxa"/>
            <w:vAlign w:val="bottom"/>
            <w:tcBorders>
              <w:bottom w:val="single" w:sz="8" w:color="BFE4FF"/>
              <w:right w:val="single" w:sz="8" w:color="BFE4FF"/>
            </w:tcBorders>
          </w:tcPr>
          <w:p>
            <w:pPr>
              <w:jc w:val="right"/>
              <w:ind w:right="268"/>
              <w:spacing w:after="0"/>
              <w:rPr>
                <w:sz w:val="20"/>
                <w:szCs w:val="20"/>
                <w:color w:val="auto"/>
              </w:rPr>
            </w:pPr>
            <w:r>
              <w:rPr>
                <w:rFonts w:ascii="Arial" w:cs="Arial" w:eastAsia="Arial" w:hAnsi="Arial"/>
                <w:sz w:val="20"/>
                <w:szCs w:val="20"/>
                <w:color w:val="auto"/>
              </w:rPr>
              <w:t>$979.8</w:t>
            </w:r>
          </w:p>
        </w:tc>
        <w:tc>
          <w:tcPr>
            <w:tcW w:w="1660" w:type="dxa"/>
            <w:vAlign w:val="bottom"/>
            <w:tcBorders>
              <w:bottom w:val="single" w:sz="8" w:color="CCEEFF"/>
              <w:right w:val="single" w:sz="8" w:color="BFE4FF"/>
            </w:tcBorders>
          </w:tcPr>
          <w:p>
            <w:pPr>
              <w:jc w:val="center"/>
              <w:spacing w:after="0"/>
              <w:rPr>
                <w:sz w:val="20"/>
                <w:szCs w:val="20"/>
                <w:color w:val="auto"/>
              </w:rPr>
            </w:pPr>
            <w:r>
              <w:rPr>
                <w:rFonts w:ascii="Arial" w:cs="Arial" w:eastAsia="Arial" w:hAnsi="Arial"/>
                <w:sz w:val="20"/>
                <w:szCs w:val="20"/>
                <w:color w:val="auto"/>
                <w:w w:val="98"/>
              </w:rPr>
              <w:t>58.6%</w:t>
            </w:r>
          </w:p>
        </w:tc>
        <w:tc>
          <w:tcPr>
            <w:tcW w:w="0" w:type="dxa"/>
            <w:vAlign w:val="bottom"/>
          </w:tcPr>
          <w:p>
            <w:pPr>
              <w:spacing w:after="0"/>
              <w:rPr>
                <w:sz w:val="1"/>
                <w:szCs w:val="1"/>
                <w:color w:val="auto"/>
              </w:rPr>
            </w:pPr>
          </w:p>
        </w:tc>
      </w:tr>
      <w:tr>
        <w:trPr>
          <w:trHeight w:val="264"/>
        </w:trPr>
        <w:tc>
          <w:tcPr>
            <w:tcW w:w="5980" w:type="dxa"/>
            <w:vAlign w:val="bottom"/>
            <w:tcBorders>
              <w:left w:val="single" w:sz="8" w:color="BFE4FF"/>
              <w:bottom w:val="single" w:sz="8" w:color="BFE4FF"/>
              <w:right w:val="single" w:sz="8" w:color="BFE4FF"/>
            </w:tcBorders>
          </w:tcPr>
          <w:p>
            <w:pPr>
              <w:ind w:left="40"/>
              <w:spacing w:after="0"/>
              <w:rPr>
                <w:sz w:val="20"/>
                <w:szCs w:val="20"/>
                <w:color w:val="auto"/>
              </w:rPr>
            </w:pPr>
            <w:r>
              <w:rPr>
                <w:rFonts w:ascii="Arial" w:cs="Arial" w:eastAsia="Arial" w:hAnsi="Arial"/>
                <w:sz w:val="20"/>
                <w:szCs w:val="20"/>
                <w:b w:val="1"/>
                <w:bCs w:val="1"/>
                <w:color w:val="auto"/>
              </w:rPr>
              <w:t>Backlog</w:t>
            </w:r>
          </w:p>
        </w:tc>
        <w:tc>
          <w:tcPr>
            <w:tcW w:w="1880" w:type="dxa"/>
            <w:vAlign w:val="bottom"/>
            <w:tcBorders>
              <w:bottom w:val="single" w:sz="8" w:color="BFE4FF"/>
              <w:right w:val="single" w:sz="8" w:color="BFE4FF"/>
            </w:tcBorders>
          </w:tcPr>
          <w:p>
            <w:pPr>
              <w:jc w:val="right"/>
              <w:ind w:right="268"/>
              <w:spacing w:after="0"/>
              <w:rPr>
                <w:sz w:val="20"/>
                <w:szCs w:val="20"/>
                <w:color w:val="auto"/>
              </w:rPr>
            </w:pPr>
            <w:r>
              <w:rPr>
                <w:rFonts w:ascii="Arial" w:cs="Arial" w:eastAsia="Arial" w:hAnsi="Arial"/>
                <w:sz w:val="20"/>
                <w:szCs w:val="20"/>
                <w:color w:val="auto"/>
              </w:rPr>
              <w:t>$6,343.4</w:t>
            </w:r>
          </w:p>
        </w:tc>
        <w:tc>
          <w:tcPr>
            <w:tcW w:w="1900" w:type="dxa"/>
            <w:vAlign w:val="bottom"/>
            <w:tcBorders>
              <w:bottom w:val="single" w:sz="8" w:color="BFE4FF"/>
              <w:right w:val="single" w:sz="8" w:color="BFE4FF"/>
            </w:tcBorders>
          </w:tcPr>
          <w:p>
            <w:pPr>
              <w:jc w:val="right"/>
              <w:ind w:right="268"/>
              <w:spacing w:after="0"/>
              <w:rPr>
                <w:sz w:val="20"/>
                <w:szCs w:val="20"/>
                <w:color w:val="auto"/>
              </w:rPr>
            </w:pPr>
            <w:r>
              <w:rPr>
                <w:rFonts w:ascii="Arial" w:cs="Arial" w:eastAsia="Arial" w:hAnsi="Arial"/>
                <w:sz w:val="20"/>
                <w:szCs w:val="20"/>
                <w:color w:val="auto"/>
              </w:rPr>
              <w:t>$5,948.9</w:t>
            </w:r>
          </w:p>
        </w:tc>
        <w:tc>
          <w:tcPr>
            <w:tcW w:w="1660" w:type="dxa"/>
            <w:vAlign w:val="bottom"/>
            <w:tcBorders>
              <w:bottom w:val="single" w:sz="8" w:color="CCEEFF"/>
              <w:right w:val="single" w:sz="8" w:color="BFE4FF"/>
            </w:tcBorders>
          </w:tcPr>
          <w:p>
            <w:pPr>
              <w:jc w:val="center"/>
              <w:spacing w:after="0"/>
              <w:rPr>
                <w:sz w:val="20"/>
                <w:szCs w:val="20"/>
                <w:color w:val="auto"/>
              </w:rPr>
            </w:pPr>
            <w:r>
              <w:rPr>
                <w:rFonts w:ascii="Arial" w:cs="Arial" w:eastAsia="Arial" w:hAnsi="Arial"/>
                <w:sz w:val="20"/>
                <w:szCs w:val="20"/>
                <w:color w:val="auto"/>
                <w:w w:val="96"/>
              </w:rPr>
              <w:t>6.6%</w:t>
            </w:r>
          </w:p>
        </w:tc>
        <w:tc>
          <w:tcPr>
            <w:tcW w:w="0" w:type="dxa"/>
            <w:vAlign w:val="bottom"/>
          </w:tcPr>
          <w:p>
            <w:pPr>
              <w:spacing w:after="0"/>
              <w:rPr>
                <w:sz w:val="1"/>
                <w:szCs w:val="1"/>
                <w:color w:val="auto"/>
              </w:rPr>
            </w:pPr>
          </w:p>
        </w:tc>
      </w:tr>
    </w:tbl>
    <w:p>
      <w:pPr>
        <w:spacing w:after="0" w:line="37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Subsea reported third quarter revenue of $1,209.1 million. Revenue was down 18.2 percent from the prior year as projects in Africa, Europe, and Asia Pacific progressed towards completion, partially offset by increased activity in South America. Subsea revenue continues to be negatively impacted by prior-period declines in inbound orders related to the market downturn.</w:t>
      </w:r>
    </w:p>
    <w:p>
      <w:pPr>
        <w:spacing w:after="0" w:line="15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Subsea reported operating profit of $ 79.7 million; adjusted EBITDA was $188.5 million with a margin of 15.6 percent. Operating profit declined versus the prior-year quarter primarily due to the anticipated revenue decline and more competitively priced backlog, offset in part by merger synergies and other cost reduction activities. The timing of completion of certain projects continued to benefit margins in the period, although the impact was less pronounced than in the prior-year quarter. These same factors drove the year-over-year decline in adjusted EBITDA.</w:t>
      </w:r>
    </w:p>
    <w:p>
      <w:pPr>
        <w:spacing w:after="0" w:line="155"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Vessel utilization rate for the third quarter was 69 percent, down from 71 percent in the second quarter and 70 percent in the prior-year quarter.</w:t>
      </w: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color w:val="auto"/>
        </w:rPr>
        <w:t>Third Quarter Subsea Highlights</w:t>
      </w:r>
    </w:p>
    <w:p>
      <w:pPr>
        <w:spacing w:after="0" w:line="20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b w:val="1"/>
          <w:bCs w:val="1"/>
          <w:color w:val="auto"/>
        </w:rPr>
        <w:t>Equinor Trestakk iEPCI™ (Norway)</w:t>
      </w:r>
    </w:p>
    <w:p>
      <w:pPr>
        <w:spacing w:after="0" w:line="23" w:lineRule="exact"/>
        <w:rPr>
          <w:rFonts w:ascii="Arial" w:cs="Arial" w:eastAsia="Arial" w:hAnsi="Arial"/>
          <w:sz w:val="20"/>
          <w:szCs w:val="20"/>
          <w:color w:val="auto"/>
        </w:rPr>
      </w:pPr>
    </w:p>
    <w:p>
      <w:pPr>
        <w:ind w:left="660"/>
        <w:spacing w:after="0" w:line="247" w:lineRule="auto"/>
        <w:rPr>
          <w:rFonts w:ascii="Arial" w:cs="Arial" w:eastAsia="Arial" w:hAnsi="Arial"/>
          <w:sz w:val="20"/>
          <w:szCs w:val="20"/>
          <w:color w:val="auto"/>
        </w:rPr>
      </w:pPr>
      <w:r>
        <w:rPr>
          <w:rFonts w:ascii="Arial" w:cs="Arial" w:eastAsia="Arial" w:hAnsi="Arial"/>
          <w:sz w:val="20"/>
          <w:szCs w:val="20"/>
          <w:color w:val="auto"/>
        </w:rPr>
        <w:t>Delivery of a fully commissioned subsea system to seabed in 22 months, requiring only a single season of marine operations.</w:t>
      </w:r>
    </w:p>
    <w:p>
      <w:pPr>
        <w:spacing w:after="0" w:line="191" w:lineRule="exact"/>
        <w:rPr>
          <w:rFonts w:ascii="Arial" w:cs="Arial" w:eastAsia="Arial" w:hAnsi="Arial"/>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b w:val="1"/>
          <w:bCs w:val="1"/>
          <w:color w:val="auto"/>
        </w:rPr>
        <w:t xml:space="preserve">Equinor Visund Nord IOR iEPCI™ </w:t>
      </w:r>
      <w:r>
        <w:rPr>
          <w:rFonts w:ascii="Arial" w:cs="Arial" w:eastAsia="Arial" w:hAnsi="Arial"/>
          <w:sz w:val="18"/>
          <w:szCs w:val="18"/>
          <w:b w:val="1"/>
          <w:bCs w:val="1"/>
          <w:color w:val="auto"/>
        </w:rPr>
        <w:t>(Norway)</w:t>
      </w:r>
    </w:p>
    <w:p>
      <w:pPr>
        <w:spacing w:after="0" w:line="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Project completion was a new fast-track record for Equinor; 21 months from concept selection to first production.</w:t>
      </w:r>
    </w:p>
    <w:p>
      <w:pPr>
        <w:spacing w:after="0" w:line="15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b w:val="1"/>
          <w:bCs w:val="1"/>
          <w:color w:val="auto"/>
        </w:rPr>
        <w:t xml:space="preserve">Total Kaombo </w:t>
      </w:r>
      <w:r>
        <w:rPr>
          <w:rFonts w:ascii="Arial" w:cs="Arial" w:eastAsia="Arial" w:hAnsi="Arial"/>
          <w:sz w:val="18"/>
          <w:szCs w:val="18"/>
          <w:b w:val="1"/>
          <w:bCs w:val="1"/>
          <w:color w:val="auto"/>
        </w:rPr>
        <w:t>(Angola)</w:t>
      </w:r>
    </w:p>
    <w:p>
      <w:pPr>
        <w:spacing w:after="0" w:line="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Vessel campaign for FPSO North successfully completed.</w:t>
      </w:r>
    </w:p>
    <w:p>
      <w:pPr>
        <w:sectPr>
          <w:pgSz w:w="11900" w:h="16838" w:orient="portrait"/>
          <w:cols w:equalWidth="0" w:num="1">
            <w:col w:w="11420"/>
          </w:cols>
          <w:pgMar w:left="240" w:top="355" w:right="239" w:bottom="1440" w:gutter="0" w:footer="0" w:header="0"/>
        </w:sectPr>
      </w:pPr>
    </w:p>
    <w:bookmarkStart w:id="7" w:name="page8"/>
    <w:bookmarkEnd w:id="7"/>
    <w:p>
      <w:pPr>
        <w:spacing w:after="0"/>
        <w:rPr>
          <w:sz w:val="20"/>
          <w:szCs w:val="20"/>
          <w:color w:val="auto"/>
        </w:rPr>
      </w:pPr>
      <w:r>
        <w:rPr>
          <w:rFonts w:ascii="Arial" w:cs="Arial" w:eastAsia="Arial" w:hAnsi="Arial"/>
          <w:sz w:val="20"/>
          <w:szCs w:val="20"/>
          <w:color w:val="auto"/>
        </w:rPr>
        <w:t>Subsea inbound orders for the quarter were $1,553.9 million. The following announced award was included in the period:</w:t>
      </w:r>
    </w:p>
    <w:p>
      <w:pPr>
        <w:spacing w:after="0" w:line="138"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20"/>
          <w:szCs w:val="20"/>
          <w:b w:val="1"/>
          <w:bCs w:val="1"/>
          <w:color w:val="auto"/>
        </w:rPr>
        <w:t xml:space="preserve">ExxonMobil Liza Phase 2 Project </w:t>
      </w:r>
      <w:r>
        <w:rPr>
          <w:rFonts w:ascii="Arial" w:cs="Arial" w:eastAsia="Arial" w:hAnsi="Arial"/>
          <w:sz w:val="18"/>
          <w:szCs w:val="18"/>
          <w:b w:val="1"/>
          <w:bCs w:val="1"/>
          <w:color w:val="auto"/>
        </w:rPr>
        <w:t>(Guyana)</w:t>
      </w:r>
    </w:p>
    <w:p>
      <w:pPr>
        <w:spacing w:after="0" w:line="23" w:lineRule="exact"/>
        <w:rPr>
          <w:rFonts w:ascii="Arial" w:cs="Arial" w:eastAsia="Arial" w:hAnsi="Arial"/>
          <w:sz w:val="18"/>
          <w:szCs w:val="18"/>
          <w:color w:val="auto"/>
        </w:rPr>
      </w:pPr>
    </w:p>
    <w:p>
      <w:pPr>
        <w:jc w:val="both"/>
        <w:ind w:left="660"/>
        <w:spacing w:after="0" w:line="242" w:lineRule="auto"/>
        <w:rPr>
          <w:rFonts w:ascii="Arial" w:cs="Arial" w:eastAsia="Arial" w:hAnsi="Arial"/>
          <w:sz w:val="18"/>
          <w:szCs w:val="18"/>
          <w:color w:val="auto"/>
        </w:rPr>
      </w:pPr>
      <w:r>
        <w:rPr>
          <w:rFonts w:ascii="Arial" w:cs="Arial" w:eastAsia="Arial" w:hAnsi="Arial"/>
          <w:sz w:val="20"/>
          <w:szCs w:val="20"/>
          <w:color w:val="auto"/>
        </w:rPr>
        <w:t>Award for the engineering of the subsea system for the proposed Liza Phase 2 project. Following engineering and subject to requisite government approvals, project sanction and an authorization to proceed with the next phase, TechnipFMC will then manufacture and deliver the subsea equipment. Delivery would include 30 enhanced vertical deepwater trees and associated tooling, as well as eight manifolds and associated controls and tie-in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7246620" cy="1551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55194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6220" w:type="dxa"/>
            <w:vAlign w:val="bottom"/>
          </w:tcPr>
          <w:p>
            <w:pPr>
              <w:ind w:left="40"/>
              <w:spacing w:after="0"/>
              <w:rPr>
                <w:sz w:val="20"/>
                <w:szCs w:val="20"/>
                <w:color w:val="auto"/>
              </w:rPr>
            </w:pPr>
            <w:r>
              <w:rPr>
                <w:rFonts w:ascii="Arial" w:cs="Arial" w:eastAsia="Arial" w:hAnsi="Arial"/>
                <w:sz w:val="20"/>
                <w:szCs w:val="20"/>
                <w:b w:val="1"/>
                <w:bCs w:val="1"/>
                <w:color w:val="auto"/>
              </w:rPr>
              <w:t>Subsea</w:t>
            </w:r>
          </w:p>
        </w:tc>
        <w:tc>
          <w:tcPr>
            <w:tcW w:w="326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6"/>
        </w:trPr>
        <w:tc>
          <w:tcPr>
            <w:tcW w:w="6220" w:type="dxa"/>
            <w:vAlign w:val="bottom"/>
          </w:tcPr>
          <w:p>
            <w:pPr>
              <w:ind w:left="40"/>
              <w:spacing w:after="0"/>
              <w:rPr>
                <w:sz w:val="20"/>
                <w:szCs w:val="20"/>
                <w:color w:val="auto"/>
              </w:rPr>
            </w:pPr>
            <w:r>
              <w:rPr>
                <w:rFonts w:ascii="Arial" w:cs="Arial" w:eastAsia="Arial" w:hAnsi="Arial"/>
                <w:sz w:val="20"/>
                <w:szCs w:val="20"/>
                <w:color w:val="auto"/>
              </w:rPr>
              <w:t>Estimated Backlog Scheduling as of September 30, 2018</w:t>
            </w:r>
          </w:p>
        </w:tc>
        <w:tc>
          <w:tcPr>
            <w:tcW w:w="32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622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3260" w:type="dxa"/>
            <w:vAlign w:val="bottom"/>
            <w:vMerge w:val="restart"/>
          </w:tcPr>
          <w:p>
            <w:pPr>
              <w:jc w:val="right"/>
              <w:ind w:right="63"/>
              <w:spacing w:after="0"/>
              <w:rPr>
                <w:sz w:val="20"/>
                <w:szCs w:val="20"/>
                <w:color w:val="auto"/>
              </w:rPr>
            </w:pPr>
            <w:r>
              <w:rPr>
                <w:rFonts w:ascii="Arial" w:cs="Arial" w:eastAsia="Arial" w:hAnsi="Arial"/>
                <w:sz w:val="18"/>
                <w:szCs w:val="18"/>
                <w:b w:val="1"/>
                <w:bCs w:val="1"/>
                <w:color w:val="auto"/>
              </w:rPr>
              <w:t>Consolidated backlog*</w:t>
            </w:r>
          </w:p>
        </w:tc>
        <w:tc>
          <w:tcPr>
            <w:tcW w:w="1940" w:type="dxa"/>
            <w:vAlign w:val="bottom"/>
          </w:tcPr>
          <w:p>
            <w:pPr>
              <w:jc w:val="right"/>
              <w:ind w:right="164"/>
              <w:spacing w:after="0"/>
              <w:rPr>
                <w:sz w:val="20"/>
                <w:szCs w:val="20"/>
                <w:color w:val="auto"/>
              </w:rPr>
            </w:pPr>
            <w:r>
              <w:rPr>
                <w:rFonts w:ascii="Arial" w:cs="Arial" w:eastAsia="Arial" w:hAnsi="Arial"/>
                <w:sz w:val="18"/>
                <w:szCs w:val="18"/>
                <w:b w:val="1"/>
                <w:bCs w:val="1"/>
                <w:color w:val="auto"/>
              </w:rPr>
              <w:t>Non-consolidated</w:t>
            </w:r>
          </w:p>
        </w:tc>
        <w:tc>
          <w:tcPr>
            <w:tcW w:w="0" w:type="dxa"/>
            <w:vAlign w:val="bottom"/>
          </w:tcPr>
          <w:p>
            <w:pPr>
              <w:spacing w:after="0"/>
              <w:rPr>
                <w:sz w:val="1"/>
                <w:szCs w:val="1"/>
                <w:color w:val="auto"/>
              </w:rPr>
            </w:pPr>
          </w:p>
        </w:tc>
      </w:tr>
      <w:tr>
        <w:trPr>
          <w:trHeight w:val="230"/>
        </w:trPr>
        <w:tc>
          <w:tcPr>
            <w:tcW w:w="6220" w:type="dxa"/>
            <w:vAlign w:val="bottom"/>
            <w:tcBorders>
              <w:bottom w:val="single" w:sz="8" w:color="CCEEFF"/>
            </w:tcBorders>
          </w:tcPr>
          <w:p>
            <w:pPr>
              <w:spacing w:after="0"/>
              <w:rPr>
                <w:sz w:val="19"/>
                <w:szCs w:val="19"/>
                <w:color w:val="auto"/>
              </w:rPr>
            </w:pPr>
          </w:p>
        </w:tc>
        <w:tc>
          <w:tcPr>
            <w:tcW w:w="3260" w:type="dxa"/>
            <w:vAlign w:val="bottom"/>
            <w:tcBorders>
              <w:bottom w:val="single" w:sz="8" w:color="CCEEFF"/>
            </w:tcBorders>
            <w:vMerge w:val="continue"/>
          </w:tcPr>
          <w:p>
            <w:pPr>
              <w:spacing w:after="0"/>
              <w:rPr>
                <w:sz w:val="19"/>
                <w:szCs w:val="19"/>
                <w:color w:val="auto"/>
              </w:rPr>
            </w:pPr>
          </w:p>
        </w:tc>
        <w:tc>
          <w:tcPr>
            <w:tcW w:w="1940" w:type="dxa"/>
            <w:vAlign w:val="bottom"/>
            <w:tcBorders>
              <w:bottom w:val="single" w:sz="8" w:color="CCEEFF"/>
            </w:tcBorders>
          </w:tcPr>
          <w:p>
            <w:pPr>
              <w:jc w:val="right"/>
              <w:ind w:right="524"/>
              <w:spacing w:after="0"/>
              <w:rPr>
                <w:sz w:val="20"/>
                <w:szCs w:val="20"/>
                <w:color w:val="auto"/>
              </w:rPr>
            </w:pPr>
            <w:r>
              <w:rPr>
                <w:rFonts w:ascii="Arial" w:cs="Arial" w:eastAsia="Arial" w:hAnsi="Arial"/>
                <w:sz w:val="18"/>
                <w:szCs w:val="18"/>
                <w:b w:val="1"/>
                <w:bCs w:val="1"/>
                <w:color w:val="auto"/>
              </w:rPr>
              <w:t>backlog**</w:t>
            </w:r>
          </w:p>
        </w:tc>
        <w:tc>
          <w:tcPr>
            <w:tcW w:w="0" w:type="dxa"/>
            <w:vAlign w:val="bottom"/>
          </w:tcPr>
          <w:p>
            <w:pPr>
              <w:spacing w:after="0"/>
              <w:rPr>
                <w:sz w:val="1"/>
                <w:szCs w:val="1"/>
                <w:color w:val="auto"/>
              </w:rPr>
            </w:pPr>
          </w:p>
        </w:tc>
      </w:tr>
      <w:tr>
        <w:trPr>
          <w:trHeight w:val="259"/>
        </w:trPr>
        <w:tc>
          <w:tcPr>
            <w:tcW w:w="6220" w:type="dxa"/>
            <w:vAlign w:val="bottom"/>
            <w:tcBorders>
              <w:bottom w:val="single" w:sz="8" w:color="BFE4FF"/>
            </w:tcBorders>
          </w:tcPr>
          <w:p>
            <w:pPr>
              <w:ind w:left="40"/>
              <w:spacing w:after="0"/>
              <w:rPr>
                <w:sz w:val="20"/>
                <w:szCs w:val="20"/>
                <w:color w:val="auto"/>
              </w:rPr>
            </w:pPr>
            <w:r>
              <w:rPr>
                <w:rFonts w:ascii="Arial" w:cs="Arial" w:eastAsia="Arial" w:hAnsi="Arial"/>
                <w:sz w:val="20"/>
                <w:szCs w:val="20"/>
                <w:b w:val="1"/>
                <w:bCs w:val="1"/>
                <w:color w:val="auto"/>
              </w:rPr>
              <w:t>2018 (3 months)</w:t>
            </w:r>
          </w:p>
        </w:tc>
        <w:tc>
          <w:tcPr>
            <w:tcW w:w="3260" w:type="dxa"/>
            <w:vAlign w:val="bottom"/>
            <w:tcBorders>
              <w:bottom w:val="single" w:sz="8" w:color="BFE4FF"/>
            </w:tcBorders>
          </w:tcPr>
          <w:p>
            <w:pPr>
              <w:jc w:val="right"/>
              <w:ind w:right="123"/>
              <w:spacing w:after="0"/>
              <w:rPr>
                <w:sz w:val="20"/>
                <w:szCs w:val="20"/>
                <w:color w:val="auto"/>
              </w:rPr>
            </w:pPr>
            <w:r>
              <w:rPr>
                <w:rFonts w:ascii="Arial" w:cs="Arial" w:eastAsia="Arial" w:hAnsi="Arial"/>
                <w:sz w:val="20"/>
                <w:szCs w:val="20"/>
                <w:color w:val="auto"/>
              </w:rPr>
              <w:t>$1,102.7</w:t>
            </w:r>
          </w:p>
        </w:tc>
        <w:tc>
          <w:tcPr>
            <w:tcW w:w="1940" w:type="dxa"/>
            <w:vAlign w:val="bottom"/>
            <w:tcBorders>
              <w:bottom w:val="single" w:sz="8" w:color="BFE4FF"/>
            </w:tcBorders>
          </w:tcPr>
          <w:p>
            <w:pPr>
              <w:jc w:val="right"/>
              <w:ind w:right="24"/>
              <w:spacing w:after="0"/>
              <w:rPr>
                <w:sz w:val="20"/>
                <w:szCs w:val="20"/>
                <w:color w:val="auto"/>
              </w:rPr>
            </w:pPr>
            <w:r>
              <w:rPr>
                <w:rFonts w:ascii="Arial" w:cs="Arial" w:eastAsia="Arial" w:hAnsi="Arial"/>
                <w:sz w:val="20"/>
                <w:szCs w:val="20"/>
                <w:color w:val="auto"/>
              </w:rPr>
              <w:t>$23.4</w:t>
            </w:r>
          </w:p>
        </w:tc>
        <w:tc>
          <w:tcPr>
            <w:tcW w:w="0" w:type="dxa"/>
            <w:vAlign w:val="bottom"/>
          </w:tcPr>
          <w:p>
            <w:pPr>
              <w:spacing w:after="0"/>
              <w:rPr>
                <w:sz w:val="1"/>
                <w:szCs w:val="1"/>
                <w:color w:val="auto"/>
              </w:rPr>
            </w:pPr>
          </w:p>
        </w:tc>
      </w:tr>
      <w:tr>
        <w:trPr>
          <w:trHeight w:val="264"/>
        </w:trPr>
        <w:tc>
          <w:tcPr>
            <w:tcW w:w="6220" w:type="dxa"/>
            <w:vAlign w:val="bottom"/>
            <w:tcBorders>
              <w:bottom w:val="single" w:sz="8" w:color="BFE4FF"/>
            </w:tcBorders>
          </w:tcPr>
          <w:p>
            <w:pPr>
              <w:ind w:left="40"/>
              <w:spacing w:after="0"/>
              <w:rPr>
                <w:sz w:val="20"/>
                <w:szCs w:val="20"/>
                <w:color w:val="auto"/>
              </w:rPr>
            </w:pPr>
            <w:r>
              <w:rPr>
                <w:rFonts w:ascii="Arial" w:cs="Arial" w:eastAsia="Arial" w:hAnsi="Arial"/>
                <w:sz w:val="20"/>
                <w:szCs w:val="20"/>
                <w:b w:val="1"/>
                <w:bCs w:val="1"/>
                <w:color w:val="auto"/>
              </w:rPr>
              <w:t>2019</w:t>
            </w:r>
          </w:p>
        </w:tc>
        <w:tc>
          <w:tcPr>
            <w:tcW w:w="3260" w:type="dxa"/>
            <w:vAlign w:val="bottom"/>
            <w:tcBorders>
              <w:bottom w:val="single" w:sz="8" w:color="BFE4FF"/>
            </w:tcBorders>
          </w:tcPr>
          <w:p>
            <w:pPr>
              <w:jc w:val="right"/>
              <w:ind w:right="123"/>
              <w:spacing w:after="0"/>
              <w:rPr>
                <w:sz w:val="20"/>
                <w:szCs w:val="20"/>
                <w:color w:val="auto"/>
              </w:rPr>
            </w:pPr>
            <w:r>
              <w:rPr>
                <w:rFonts w:ascii="Arial" w:cs="Arial" w:eastAsia="Arial" w:hAnsi="Arial"/>
                <w:sz w:val="20"/>
                <w:szCs w:val="20"/>
                <w:color w:val="auto"/>
              </w:rPr>
              <w:t>$2,798.2</w:t>
            </w:r>
          </w:p>
        </w:tc>
        <w:tc>
          <w:tcPr>
            <w:tcW w:w="1940" w:type="dxa"/>
            <w:vAlign w:val="bottom"/>
            <w:tcBorders>
              <w:bottom w:val="single" w:sz="8" w:color="BFE4FF"/>
            </w:tcBorders>
          </w:tcPr>
          <w:p>
            <w:pPr>
              <w:jc w:val="right"/>
              <w:ind w:right="24"/>
              <w:spacing w:after="0"/>
              <w:rPr>
                <w:sz w:val="20"/>
                <w:szCs w:val="20"/>
                <w:color w:val="auto"/>
              </w:rPr>
            </w:pPr>
            <w:r>
              <w:rPr>
                <w:rFonts w:ascii="Arial" w:cs="Arial" w:eastAsia="Arial" w:hAnsi="Arial"/>
                <w:sz w:val="20"/>
                <w:szCs w:val="20"/>
                <w:color w:val="auto"/>
              </w:rPr>
              <w:t>$179.7</w:t>
            </w:r>
          </w:p>
        </w:tc>
        <w:tc>
          <w:tcPr>
            <w:tcW w:w="0" w:type="dxa"/>
            <w:vAlign w:val="bottom"/>
          </w:tcPr>
          <w:p>
            <w:pPr>
              <w:spacing w:after="0"/>
              <w:rPr>
                <w:sz w:val="1"/>
                <w:szCs w:val="1"/>
                <w:color w:val="auto"/>
              </w:rPr>
            </w:pPr>
          </w:p>
        </w:tc>
      </w:tr>
      <w:tr>
        <w:trPr>
          <w:trHeight w:val="264"/>
        </w:trPr>
        <w:tc>
          <w:tcPr>
            <w:tcW w:w="6220" w:type="dxa"/>
            <w:vAlign w:val="bottom"/>
            <w:tcBorders>
              <w:bottom w:val="single" w:sz="8" w:color="BFE4FF"/>
            </w:tcBorders>
          </w:tcPr>
          <w:p>
            <w:pPr>
              <w:ind w:left="40"/>
              <w:spacing w:after="0"/>
              <w:rPr>
                <w:sz w:val="20"/>
                <w:szCs w:val="20"/>
                <w:color w:val="auto"/>
              </w:rPr>
            </w:pPr>
            <w:r>
              <w:rPr>
                <w:rFonts w:ascii="Arial" w:cs="Arial" w:eastAsia="Arial" w:hAnsi="Arial"/>
                <w:sz w:val="20"/>
                <w:szCs w:val="20"/>
                <w:b w:val="1"/>
                <w:bCs w:val="1"/>
                <w:color w:val="auto"/>
              </w:rPr>
              <w:t>2020 and beyond</w:t>
            </w:r>
          </w:p>
        </w:tc>
        <w:tc>
          <w:tcPr>
            <w:tcW w:w="3260" w:type="dxa"/>
            <w:vAlign w:val="bottom"/>
            <w:tcBorders>
              <w:bottom w:val="single" w:sz="8" w:color="BFE4FF"/>
            </w:tcBorders>
          </w:tcPr>
          <w:p>
            <w:pPr>
              <w:jc w:val="right"/>
              <w:ind w:right="123"/>
              <w:spacing w:after="0"/>
              <w:rPr>
                <w:sz w:val="20"/>
                <w:szCs w:val="20"/>
                <w:color w:val="auto"/>
              </w:rPr>
            </w:pPr>
            <w:r>
              <w:rPr>
                <w:rFonts w:ascii="Arial" w:cs="Arial" w:eastAsia="Arial" w:hAnsi="Arial"/>
                <w:sz w:val="20"/>
                <w:szCs w:val="20"/>
                <w:color w:val="auto"/>
              </w:rPr>
              <w:t>$2,442.5</w:t>
            </w:r>
          </w:p>
        </w:tc>
        <w:tc>
          <w:tcPr>
            <w:tcW w:w="1940" w:type="dxa"/>
            <w:vAlign w:val="bottom"/>
            <w:tcBorders>
              <w:bottom w:val="single" w:sz="8" w:color="BFE4FF"/>
            </w:tcBorders>
          </w:tcPr>
          <w:p>
            <w:pPr>
              <w:jc w:val="right"/>
              <w:ind w:right="24"/>
              <w:spacing w:after="0"/>
              <w:rPr>
                <w:sz w:val="20"/>
                <w:szCs w:val="20"/>
                <w:color w:val="auto"/>
              </w:rPr>
            </w:pPr>
            <w:r>
              <w:rPr>
                <w:rFonts w:ascii="Arial" w:cs="Arial" w:eastAsia="Arial" w:hAnsi="Arial"/>
                <w:sz w:val="20"/>
                <w:szCs w:val="20"/>
                <w:color w:val="auto"/>
              </w:rPr>
              <w:t>$792.8</w:t>
            </w:r>
          </w:p>
        </w:tc>
        <w:tc>
          <w:tcPr>
            <w:tcW w:w="0" w:type="dxa"/>
            <w:vAlign w:val="bottom"/>
          </w:tcPr>
          <w:p>
            <w:pPr>
              <w:spacing w:after="0"/>
              <w:rPr>
                <w:sz w:val="1"/>
                <w:szCs w:val="1"/>
                <w:color w:val="auto"/>
              </w:rPr>
            </w:pPr>
          </w:p>
        </w:tc>
      </w:tr>
      <w:tr>
        <w:trPr>
          <w:trHeight w:val="259"/>
        </w:trPr>
        <w:tc>
          <w:tcPr>
            <w:tcW w:w="6220" w:type="dxa"/>
            <w:vAlign w:val="bottom"/>
          </w:tcPr>
          <w:p>
            <w:pPr>
              <w:ind w:left="40"/>
              <w:spacing w:after="0"/>
              <w:rPr>
                <w:sz w:val="20"/>
                <w:szCs w:val="20"/>
                <w:color w:val="auto"/>
              </w:rPr>
            </w:pPr>
            <w:r>
              <w:rPr>
                <w:rFonts w:ascii="Arial" w:cs="Arial" w:eastAsia="Arial" w:hAnsi="Arial"/>
                <w:sz w:val="20"/>
                <w:szCs w:val="20"/>
                <w:b w:val="1"/>
                <w:bCs w:val="1"/>
                <w:color w:val="auto"/>
              </w:rPr>
              <w:t>Total</w:t>
            </w:r>
          </w:p>
        </w:tc>
        <w:tc>
          <w:tcPr>
            <w:tcW w:w="3260" w:type="dxa"/>
            <w:vAlign w:val="bottom"/>
          </w:tcPr>
          <w:p>
            <w:pPr>
              <w:jc w:val="right"/>
              <w:ind w:right="123"/>
              <w:spacing w:after="0"/>
              <w:rPr>
                <w:sz w:val="20"/>
                <w:szCs w:val="20"/>
                <w:color w:val="auto"/>
              </w:rPr>
            </w:pPr>
            <w:r>
              <w:rPr>
                <w:rFonts w:ascii="Arial" w:cs="Arial" w:eastAsia="Arial" w:hAnsi="Arial"/>
                <w:sz w:val="20"/>
                <w:szCs w:val="20"/>
                <w:b w:val="1"/>
                <w:bCs w:val="1"/>
                <w:color w:val="auto"/>
              </w:rPr>
              <w:t>$6,343.4</w:t>
            </w:r>
          </w:p>
        </w:tc>
        <w:tc>
          <w:tcPr>
            <w:tcW w:w="1940" w:type="dxa"/>
            <w:vAlign w:val="bottom"/>
          </w:tcPr>
          <w:p>
            <w:pPr>
              <w:jc w:val="right"/>
              <w:ind w:right="24"/>
              <w:spacing w:after="0"/>
              <w:rPr>
                <w:sz w:val="20"/>
                <w:szCs w:val="20"/>
                <w:color w:val="auto"/>
              </w:rPr>
            </w:pPr>
            <w:r>
              <w:rPr>
                <w:rFonts w:ascii="Arial" w:cs="Arial" w:eastAsia="Arial" w:hAnsi="Arial"/>
                <w:sz w:val="20"/>
                <w:szCs w:val="20"/>
                <w:b w:val="1"/>
                <w:bCs w:val="1"/>
                <w:color w:val="auto"/>
              </w:rPr>
              <w:t>$995.9</w:t>
            </w:r>
          </w:p>
        </w:tc>
        <w:tc>
          <w:tcPr>
            <w:tcW w:w="0" w:type="dxa"/>
            <w:vAlign w:val="bottom"/>
          </w:tcPr>
          <w:p>
            <w:pPr>
              <w:spacing w:after="0"/>
              <w:rPr>
                <w:sz w:val="1"/>
                <w:szCs w:val="1"/>
                <w:color w:val="auto"/>
              </w:rPr>
            </w:pPr>
          </w:p>
        </w:tc>
      </w:tr>
    </w:tbl>
    <w:p>
      <w:pPr>
        <w:spacing w:after="0" w:line="4"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Backlog does not capture all revenue potential for subsea services.</w:t>
      </w:r>
    </w:p>
    <w:p>
      <w:pPr>
        <w:spacing w:after="0" w:line="27" w:lineRule="exact"/>
        <w:rPr>
          <w:sz w:val="20"/>
          <w:szCs w:val="20"/>
          <w:color w:val="auto"/>
        </w:rPr>
      </w:pPr>
    </w:p>
    <w:p>
      <w:pPr>
        <w:ind w:left="340" w:right="360" w:hanging="332"/>
        <w:spacing w:after="0" w:line="262" w:lineRule="auto"/>
        <w:tabs>
          <w:tab w:leader="none" w:pos="206"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Non-consolidated backlog reflects the proportional share of backlog related to joint ventures that are not consolidated due to our minority ownership position.</w:t>
      </w:r>
    </w:p>
    <w:p>
      <w:pPr>
        <w:sectPr>
          <w:pgSz w:w="11900" w:h="16838" w:orient="portrait"/>
          <w:cols w:equalWidth="0" w:num="1">
            <w:col w:w="11420"/>
          </w:cols>
          <w:pgMar w:left="240" w:top="379" w:right="239" w:bottom="1440" w:gutter="0" w:footer="0" w:header="0"/>
        </w:sectPr>
      </w:pPr>
    </w:p>
    <w:bookmarkStart w:id="8" w:name="page9"/>
    <w:bookmarkEnd w:id="8"/>
    <w:p>
      <w:pPr>
        <w:ind w:left="40"/>
        <w:spacing w:after="0"/>
        <w:rPr>
          <w:sz w:val="20"/>
          <w:szCs w:val="20"/>
          <w:color w:val="auto"/>
        </w:rPr>
      </w:pPr>
      <w:r>
        <w:rPr>
          <w:rFonts w:ascii="Arial" w:cs="Arial" w:eastAsia="Arial" w:hAnsi="Arial"/>
          <w:sz w:val="20"/>
          <w:szCs w:val="20"/>
          <w:b w:val="1"/>
          <w:bCs w:val="1"/>
          <w:color w:val="auto"/>
        </w:rPr>
        <w:t>Onshore/Offshore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Highlights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of U.S. GAAP to non-GAAP financial measures are detailed below and in the financial schedules.</w:t>
      </w:r>
    </w:p>
    <w:p>
      <w:pPr>
        <w:spacing w:after="0" w:line="287"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6000" w:type="dxa"/>
            <w:vAlign w:val="bottom"/>
            <w:tcBorders>
              <w:top w:val="single" w:sz="8" w:color="BFE4FF"/>
              <w:left w:val="single" w:sz="8" w:color="BFE4FF"/>
              <w:right w:val="single" w:sz="8" w:color="BFE4FF"/>
            </w:tcBorders>
          </w:tcPr>
          <w:p>
            <w:pPr>
              <w:spacing w:after="0"/>
              <w:rPr>
                <w:sz w:val="18"/>
                <w:szCs w:val="18"/>
                <w:color w:val="auto"/>
              </w:rPr>
            </w:pPr>
          </w:p>
        </w:tc>
        <w:tc>
          <w:tcPr>
            <w:tcW w:w="1860" w:type="dxa"/>
            <w:vAlign w:val="bottom"/>
            <w:tcBorders>
              <w:top w:val="single" w:sz="8" w:color="BFE4FF"/>
              <w:right w:val="single" w:sz="8" w:color="BFE4FF"/>
            </w:tcBorders>
          </w:tcPr>
          <w:p>
            <w:pPr>
              <w:jc w:val="right"/>
              <w:ind w:right="148"/>
              <w:spacing w:after="0"/>
              <w:rPr>
                <w:sz w:val="20"/>
                <w:szCs w:val="20"/>
                <w:color w:val="auto"/>
              </w:rPr>
            </w:pPr>
            <w:r>
              <w:rPr>
                <w:rFonts w:ascii="Arial" w:cs="Arial" w:eastAsia="Arial" w:hAnsi="Arial"/>
                <w:sz w:val="14"/>
                <w:szCs w:val="14"/>
                <w:b w:val="1"/>
                <w:bCs w:val="1"/>
                <w:color w:val="auto"/>
              </w:rPr>
              <w:t>Three Months Ended</w:t>
            </w:r>
          </w:p>
        </w:tc>
        <w:tc>
          <w:tcPr>
            <w:tcW w:w="1920" w:type="dxa"/>
            <w:vAlign w:val="bottom"/>
            <w:tcBorders>
              <w:top w:val="single" w:sz="8" w:color="BFE4FF"/>
              <w:right w:val="single" w:sz="8" w:color="BFE4FF"/>
            </w:tcBorders>
          </w:tcPr>
          <w:p>
            <w:pPr>
              <w:jc w:val="right"/>
              <w:ind w:right="168"/>
              <w:spacing w:after="0"/>
              <w:rPr>
                <w:sz w:val="20"/>
                <w:szCs w:val="20"/>
                <w:color w:val="auto"/>
              </w:rPr>
            </w:pPr>
            <w:r>
              <w:rPr>
                <w:rFonts w:ascii="Arial" w:cs="Arial" w:eastAsia="Arial" w:hAnsi="Arial"/>
                <w:sz w:val="14"/>
                <w:szCs w:val="14"/>
                <w:b w:val="1"/>
                <w:bCs w:val="1"/>
                <w:color w:val="auto"/>
              </w:rPr>
              <w:t>Three Months Ended</w:t>
            </w:r>
          </w:p>
        </w:tc>
        <w:tc>
          <w:tcPr>
            <w:tcW w:w="1640" w:type="dxa"/>
            <w:vAlign w:val="bottom"/>
            <w:tcBorders>
              <w:top w:val="single" w:sz="8" w:color="BFE4FF"/>
              <w:right w:val="single" w:sz="8" w:color="BFE4FF"/>
            </w:tcBorders>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6000" w:type="dxa"/>
            <w:vAlign w:val="bottom"/>
            <w:tcBorders>
              <w:left w:val="single" w:sz="8" w:color="BFE4FF"/>
              <w:right w:val="single" w:sz="8" w:color="BFE4FF"/>
            </w:tcBorders>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860" w:type="dxa"/>
            <w:vAlign w:val="bottom"/>
            <w:tcBorders>
              <w:right w:val="single" w:sz="8" w:color="BFE4FF"/>
            </w:tcBorders>
          </w:tcPr>
          <w:p>
            <w:pPr>
              <w:jc w:val="right"/>
              <w:ind w:right="188"/>
              <w:spacing w:after="0"/>
              <w:rPr>
                <w:sz w:val="20"/>
                <w:szCs w:val="20"/>
                <w:color w:val="auto"/>
              </w:rPr>
            </w:pPr>
            <w:r>
              <w:rPr>
                <w:rFonts w:ascii="Arial" w:cs="Arial" w:eastAsia="Arial" w:hAnsi="Arial"/>
                <w:sz w:val="14"/>
                <w:szCs w:val="14"/>
                <w:b w:val="1"/>
                <w:bCs w:val="1"/>
                <w:color w:val="auto"/>
              </w:rPr>
              <w:t>September 30, 2018</w:t>
            </w:r>
          </w:p>
        </w:tc>
        <w:tc>
          <w:tcPr>
            <w:tcW w:w="1920" w:type="dxa"/>
            <w:vAlign w:val="bottom"/>
            <w:tcBorders>
              <w:right w:val="single" w:sz="8" w:color="BFE4FF"/>
            </w:tcBorders>
          </w:tcPr>
          <w:p>
            <w:pPr>
              <w:jc w:val="right"/>
              <w:ind w:right="208"/>
              <w:spacing w:after="0"/>
              <w:rPr>
                <w:sz w:val="20"/>
                <w:szCs w:val="20"/>
                <w:color w:val="auto"/>
              </w:rPr>
            </w:pPr>
            <w:r>
              <w:rPr>
                <w:rFonts w:ascii="Arial" w:cs="Arial" w:eastAsia="Arial" w:hAnsi="Arial"/>
                <w:sz w:val="14"/>
                <w:szCs w:val="14"/>
                <w:b w:val="1"/>
                <w:bCs w:val="1"/>
                <w:color w:val="auto"/>
              </w:rPr>
              <w:t>September 30, 2017</w:t>
            </w:r>
          </w:p>
        </w:tc>
        <w:tc>
          <w:tcPr>
            <w:tcW w:w="1640" w:type="dxa"/>
            <w:vAlign w:val="bottom"/>
            <w:tcBorders>
              <w:right w:val="single" w:sz="8" w:color="BFE4FF"/>
            </w:tcBorders>
            <w:vMerge w:val="restart"/>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2"/>
        </w:trPr>
        <w:tc>
          <w:tcPr>
            <w:tcW w:w="6000" w:type="dxa"/>
            <w:vAlign w:val="bottom"/>
            <w:tcBorders>
              <w:left w:val="single" w:sz="8" w:color="BFE4FF"/>
              <w:bottom w:val="single" w:sz="8" w:color="CCEEFF"/>
              <w:right w:val="single" w:sz="8" w:color="BFE4FF"/>
            </w:tcBorders>
            <w:vMerge w:val="continue"/>
          </w:tcPr>
          <w:p>
            <w:pPr>
              <w:spacing w:after="0"/>
              <w:rPr>
                <w:sz w:val="15"/>
                <w:szCs w:val="15"/>
                <w:color w:val="auto"/>
              </w:rPr>
            </w:pPr>
          </w:p>
        </w:tc>
        <w:tc>
          <w:tcPr>
            <w:tcW w:w="1860" w:type="dxa"/>
            <w:vAlign w:val="bottom"/>
            <w:tcBorders>
              <w:bottom w:val="single" w:sz="8" w:color="CCEEFF"/>
              <w:right w:val="single" w:sz="8" w:color="BFE4FF"/>
            </w:tcBorders>
          </w:tcPr>
          <w:p>
            <w:pPr>
              <w:spacing w:after="0"/>
              <w:rPr>
                <w:sz w:val="15"/>
                <w:szCs w:val="15"/>
                <w:color w:val="auto"/>
              </w:rPr>
            </w:pPr>
          </w:p>
        </w:tc>
        <w:tc>
          <w:tcPr>
            <w:tcW w:w="1920" w:type="dxa"/>
            <w:vAlign w:val="bottom"/>
            <w:tcBorders>
              <w:bottom w:val="single" w:sz="8" w:color="CCEEFF"/>
              <w:right w:val="single" w:sz="8" w:color="BFE4FF"/>
            </w:tcBorders>
          </w:tcPr>
          <w:p>
            <w:pPr>
              <w:spacing w:after="0"/>
              <w:rPr>
                <w:sz w:val="15"/>
                <w:szCs w:val="15"/>
                <w:color w:val="auto"/>
              </w:rPr>
            </w:pPr>
          </w:p>
        </w:tc>
        <w:tc>
          <w:tcPr>
            <w:tcW w:w="1640" w:type="dxa"/>
            <w:vAlign w:val="bottom"/>
            <w:tcBorders>
              <w:bottom w:val="single" w:sz="8" w:color="CCEEFF"/>
              <w:right w:val="single" w:sz="8" w:color="BFE4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6000" w:type="dxa"/>
            <w:vAlign w:val="bottom"/>
            <w:tcBorders>
              <w:left w:val="single" w:sz="8" w:color="BFE4FF"/>
              <w:right w:val="single" w:sz="8" w:color="CCEEFF"/>
            </w:tcBorders>
          </w:tcPr>
          <w:p>
            <w:pPr>
              <w:ind w:left="40"/>
              <w:spacing w:after="0"/>
              <w:rPr>
                <w:sz w:val="20"/>
                <w:szCs w:val="20"/>
                <w:color w:val="auto"/>
              </w:rPr>
            </w:pPr>
            <w:r>
              <w:rPr>
                <w:rFonts w:ascii="Arial" w:cs="Arial" w:eastAsia="Arial" w:hAnsi="Arial"/>
                <w:sz w:val="20"/>
                <w:szCs w:val="20"/>
                <w:b w:val="1"/>
                <w:bCs w:val="1"/>
                <w:color w:val="auto"/>
              </w:rPr>
              <w:t>Revenue</w:t>
            </w:r>
          </w:p>
        </w:tc>
        <w:tc>
          <w:tcPr>
            <w:tcW w:w="1860" w:type="dxa"/>
            <w:vAlign w:val="bottom"/>
            <w:tcBorders>
              <w:right w:val="single" w:sz="8" w:color="CCEEFF"/>
            </w:tcBorders>
          </w:tcPr>
          <w:p>
            <w:pPr>
              <w:jc w:val="right"/>
              <w:ind w:right="268"/>
              <w:spacing w:after="0"/>
              <w:rPr>
                <w:sz w:val="20"/>
                <w:szCs w:val="20"/>
                <w:color w:val="auto"/>
              </w:rPr>
            </w:pPr>
            <w:r>
              <w:rPr>
                <w:rFonts w:ascii="Arial" w:cs="Arial" w:eastAsia="Arial" w:hAnsi="Arial"/>
                <w:sz w:val="20"/>
                <w:szCs w:val="20"/>
                <w:color w:val="auto"/>
              </w:rPr>
              <w:t>$1,532.5</w:t>
            </w:r>
          </w:p>
        </w:tc>
        <w:tc>
          <w:tcPr>
            <w:tcW w:w="1920" w:type="dxa"/>
            <w:vAlign w:val="bottom"/>
            <w:tcBorders>
              <w:right w:val="single" w:sz="8" w:color="CCEEFF"/>
            </w:tcBorders>
          </w:tcPr>
          <w:p>
            <w:pPr>
              <w:jc w:val="right"/>
              <w:ind w:right="288"/>
              <w:spacing w:after="0"/>
              <w:rPr>
                <w:sz w:val="20"/>
                <w:szCs w:val="20"/>
                <w:color w:val="auto"/>
              </w:rPr>
            </w:pPr>
            <w:r>
              <w:rPr>
                <w:rFonts w:ascii="Arial" w:cs="Arial" w:eastAsia="Arial" w:hAnsi="Arial"/>
                <w:sz w:val="20"/>
                <w:szCs w:val="20"/>
                <w:color w:val="auto"/>
              </w:rPr>
              <w:t>$2,308.1</w:t>
            </w:r>
          </w:p>
        </w:tc>
        <w:tc>
          <w:tcPr>
            <w:tcW w:w="1640" w:type="dxa"/>
            <w:vAlign w:val="bottom"/>
            <w:tcBorders>
              <w:right w:val="single" w:sz="8" w:color="BFE4FF"/>
            </w:tcBorders>
          </w:tcPr>
          <w:p>
            <w:pPr>
              <w:jc w:val="center"/>
              <w:spacing w:after="0"/>
              <w:rPr>
                <w:sz w:val="20"/>
                <w:szCs w:val="20"/>
                <w:color w:val="auto"/>
              </w:rPr>
            </w:pPr>
            <w:r>
              <w:rPr>
                <w:rFonts w:ascii="Arial" w:cs="Arial" w:eastAsia="Arial" w:hAnsi="Arial"/>
                <w:sz w:val="20"/>
                <w:szCs w:val="20"/>
                <w:color w:val="auto"/>
                <w:w w:val="97"/>
              </w:rPr>
              <w:t>(33.6%)</w:t>
            </w:r>
          </w:p>
        </w:tc>
        <w:tc>
          <w:tcPr>
            <w:tcW w:w="0" w:type="dxa"/>
            <w:vAlign w:val="bottom"/>
          </w:tcPr>
          <w:p>
            <w:pPr>
              <w:spacing w:after="0"/>
              <w:rPr>
                <w:sz w:val="1"/>
                <w:szCs w:val="1"/>
                <w:color w:val="auto"/>
              </w:rPr>
            </w:pPr>
          </w:p>
        </w:tc>
      </w:tr>
      <w:tr>
        <w:trPr>
          <w:trHeight w:val="264"/>
        </w:trPr>
        <w:tc>
          <w:tcPr>
            <w:tcW w:w="6000" w:type="dxa"/>
            <w:vAlign w:val="bottom"/>
            <w:tcBorders>
              <w:top w:val="single" w:sz="8" w:color="BFE4FF"/>
              <w:left w:val="single" w:sz="8" w:color="BFE4FF"/>
              <w:bottom w:val="single" w:sz="8" w:color="BFE4FF"/>
              <w:right w:val="single" w:sz="8" w:color="BFE4FF"/>
            </w:tcBorders>
          </w:tcPr>
          <w:p>
            <w:pPr>
              <w:ind w:left="40"/>
              <w:spacing w:after="0"/>
              <w:rPr>
                <w:sz w:val="20"/>
                <w:szCs w:val="20"/>
                <w:color w:val="auto"/>
              </w:rPr>
            </w:pPr>
            <w:r>
              <w:rPr>
                <w:rFonts w:ascii="Arial" w:cs="Arial" w:eastAsia="Arial" w:hAnsi="Arial"/>
                <w:sz w:val="20"/>
                <w:szCs w:val="20"/>
                <w:b w:val="1"/>
                <w:bCs w:val="1"/>
                <w:color w:val="auto"/>
              </w:rPr>
              <w:t>Operating profit</w:t>
            </w:r>
          </w:p>
        </w:tc>
        <w:tc>
          <w:tcPr>
            <w:tcW w:w="1860" w:type="dxa"/>
            <w:vAlign w:val="bottom"/>
            <w:tcBorders>
              <w:top w:val="single" w:sz="8" w:color="BFE4FF"/>
              <w:bottom w:val="single" w:sz="8" w:color="BFE4FF"/>
              <w:right w:val="single" w:sz="8" w:color="BFE4FF"/>
            </w:tcBorders>
          </w:tcPr>
          <w:p>
            <w:pPr>
              <w:jc w:val="right"/>
              <w:ind w:right="268"/>
              <w:spacing w:after="0"/>
              <w:rPr>
                <w:sz w:val="20"/>
                <w:szCs w:val="20"/>
                <w:color w:val="auto"/>
              </w:rPr>
            </w:pPr>
            <w:r>
              <w:rPr>
                <w:rFonts w:ascii="Arial" w:cs="Arial" w:eastAsia="Arial" w:hAnsi="Arial"/>
                <w:sz w:val="20"/>
                <w:szCs w:val="20"/>
                <w:color w:val="auto"/>
              </w:rPr>
              <w:t>$243.4</w:t>
            </w:r>
          </w:p>
        </w:tc>
        <w:tc>
          <w:tcPr>
            <w:tcW w:w="1920" w:type="dxa"/>
            <w:vAlign w:val="bottom"/>
            <w:tcBorders>
              <w:top w:val="single" w:sz="8" w:color="BFE4FF"/>
              <w:bottom w:val="single" w:sz="8" w:color="BFE4FF"/>
              <w:right w:val="single" w:sz="8" w:color="BFE4FF"/>
            </w:tcBorders>
          </w:tcPr>
          <w:p>
            <w:pPr>
              <w:jc w:val="right"/>
              <w:ind w:right="288"/>
              <w:spacing w:after="0"/>
              <w:rPr>
                <w:sz w:val="20"/>
                <w:szCs w:val="20"/>
                <w:color w:val="auto"/>
              </w:rPr>
            </w:pPr>
            <w:r>
              <w:rPr>
                <w:rFonts w:ascii="Arial" w:cs="Arial" w:eastAsia="Arial" w:hAnsi="Arial"/>
                <w:sz w:val="20"/>
                <w:szCs w:val="20"/>
                <w:color w:val="auto"/>
              </w:rPr>
              <w:t>$206.4</w:t>
            </w:r>
          </w:p>
        </w:tc>
        <w:tc>
          <w:tcPr>
            <w:tcW w:w="1640" w:type="dxa"/>
            <w:vAlign w:val="bottom"/>
            <w:tcBorders>
              <w:top w:val="single" w:sz="8" w:color="CCEEFF"/>
              <w:bottom w:val="single" w:sz="8" w:color="BFE4FF"/>
              <w:right w:val="single" w:sz="8" w:color="BFE4FF"/>
            </w:tcBorders>
          </w:tcPr>
          <w:p>
            <w:pPr>
              <w:jc w:val="center"/>
              <w:spacing w:after="0"/>
              <w:rPr>
                <w:sz w:val="20"/>
                <w:szCs w:val="20"/>
                <w:color w:val="auto"/>
              </w:rPr>
            </w:pPr>
            <w:r>
              <w:rPr>
                <w:rFonts w:ascii="Arial" w:cs="Arial" w:eastAsia="Arial" w:hAnsi="Arial"/>
                <w:sz w:val="20"/>
                <w:szCs w:val="20"/>
                <w:color w:val="auto"/>
                <w:w w:val="98"/>
              </w:rPr>
              <w:t>17.9%</w:t>
            </w:r>
          </w:p>
        </w:tc>
        <w:tc>
          <w:tcPr>
            <w:tcW w:w="0" w:type="dxa"/>
            <w:vAlign w:val="bottom"/>
          </w:tcPr>
          <w:p>
            <w:pPr>
              <w:spacing w:after="0"/>
              <w:rPr>
                <w:sz w:val="1"/>
                <w:szCs w:val="1"/>
                <w:color w:val="auto"/>
              </w:rPr>
            </w:pPr>
          </w:p>
        </w:tc>
      </w:tr>
      <w:tr>
        <w:trPr>
          <w:trHeight w:val="264"/>
        </w:trPr>
        <w:tc>
          <w:tcPr>
            <w:tcW w:w="6000" w:type="dxa"/>
            <w:vAlign w:val="bottom"/>
            <w:tcBorders>
              <w:left w:val="single" w:sz="8" w:color="BFE4FF"/>
              <w:bottom w:val="single" w:sz="8" w:color="BFE4FF"/>
              <w:right w:val="single" w:sz="8" w:color="BFE4FF"/>
            </w:tcBorders>
          </w:tcPr>
          <w:p>
            <w:pPr>
              <w:ind w:left="40"/>
              <w:spacing w:after="0"/>
              <w:rPr>
                <w:sz w:val="20"/>
                <w:szCs w:val="20"/>
                <w:color w:val="auto"/>
              </w:rPr>
            </w:pPr>
            <w:r>
              <w:rPr>
                <w:rFonts w:ascii="Arial" w:cs="Arial" w:eastAsia="Arial" w:hAnsi="Arial"/>
                <w:sz w:val="20"/>
                <w:szCs w:val="20"/>
                <w:b w:val="1"/>
                <w:bCs w:val="1"/>
                <w:color w:val="auto"/>
              </w:rPr>
              <w:t>Adjusted EBITDA</w:t>
            </w:r>
          </w:p>
        </w:tc>
        <w:tc>
          <w:tcPr>
            <w:tcW w:w="1860" w:type="dxa"/>
            <w:vAlign w:val="bottom"/>
            <w:tcBorders>
              <w:bottom w:val="single" w:sz="8" w:color="BFE4FF"/>
              <w:right w:val="single" w:sz="8" w:color="BFE4FF"/>
            </w:tcBorders>
          </w:tcPr>
          <w:p>
            <w:pPr>
              <w:jc w:val="right"/>
              <w:ind w:right="268"/>
              <w:spacing w:after="0"/>
              <w:rPr>
                <w:sz w:val="20"/>
                <w:szCs w:val="20"/>
                <w:color w:val="auto"/>
              </w:rPr>
            </w:pPr>
            <w:r>
              <w:rPr>
                <w:rFonts w:ascii="Arial" w:cs="Arial" w:eastAsia="Arial" w:hAnsi="Arial"/>
                <w:sz w:val="20"/>
                <w:szCs w:val="20"/>
                <w:color w:val="auto"/>
              </w:rPr>
              <w:t>$227.3</w:t>
            </w:r>
          </w:p>
        </w:tc>
        <w:tc>
          <w:tcPr>
            <w:tcW w:w="1920" w:type="dxa"/>
            <w:vAlign w:val="bottom"/>
            <w:tcBorders>
              <w:bottom w:val="single" w:sz="8" w:color="BFE4FF"/>
              <w:right w:val="single" w:sz="8" w:color="BFE4FF"/>
            </w:tcBorders>
          </w:tcPr>
          <w:p>
            <w:pPr>
              <w:jc w:val="right"/>
              <w:ind w:right="288"/>
              <w:spacing w:after="0"/>
              <w:rPr>
                <w:sz w:val="20"/>
                <w:szCs w:val="20"/>
                <w:color w:val="auto"/>
              </w:rPr>
            </w:pPr>
            <w:r>
              <w:rPr>
                <w:rFonts w:ascii="Arial" w:cs="Arial" w:eastAsia="Arial" w:hAnsi="Arial"/>
                <w:sz w:val="20"/>
                <w:szCs w:val="20"/>
                <w:color w:val="auto"/>
              </w:rPr>
              <w:t>$244.6</w:t>
            </w:r>
          </w:p>
        </w:tc>
        <w:tc>
          <w:tcPr>
            <w:tcW w:w="1640" w:type="dxa"/>
            <w:vAlign w:val="bottom"/>
            <w:tcBorders>
              <w:bottom w:val="single" w:sz="8" w:color="BFE4FF"/>
              <w:right w:val="single" w:sz="8" w:color="BFE4FF"/>
            </w:tcBorders>
          </w:tcPr>
          <w:p>
            <w:pPr>
              <w:jc w:val="center"/>
              <w:spacing w:after="0"/>
              <w:rPr>
                <w:sz w:val="20"/>
                <w:szCs w:val="20"/>
                <w:color w:val="auto"/>
              </w:rPr>
            </w:pPr>
            <w:r>
              <w:rPr>
                <w:rFonts w:ascii="Arial" w:cs="Arial" w:eastAsia="Arial" w:hAnsi="Arial"/>
                <w:sz w:val="20"/>
                <w:szCs w:val="20"/>
                <w:color w:val="auto"/>
                <w:w w:val="98"/>
              </w:rPr>
              <w:t>(7.1%)</w:t>
            </w:r>
          </w:p>
        </w:tc>
        <w:tc>
          <w:tcPr>
            <w:tcW w:w="0" w:type="dxa"/>
            <w:vAlign w:val="bottom"/>
          </w:tcPr>
          <w:p>
            <w:pPr>
              <w:spacing w:after="0"/>
              <w:rPr>
                <w:sz w:val="1"/>
                <w:szCs w:val="1"/>
                <w:color w:val="auto"/>
              </w:rPr>
            </w:pPr>
          </w:p>
        </w:tc>
      </w:tr>
      <w:tr>
        <w:trPr>
          <w:trHeight w:val="264"/>
        </w:trPr>
        <w:tc>
          <w:tcPr>
            <w:tcW w:w="6000" w:type="dxa"/>
            <w:vAlign w:val="bottom"/>
            <w:tcBorders>
              <w:left w:val="single" w:sz="8" w:color="BFE4FF"/>
              <w:bottom w:val="single" w:sz="8" w:color="BFE4FF"/>
              <w:right w:val="single" w:sz="8" w:color="BFE4FF"/>
            </w:tcBorders>
          </w:tcPr>
          <w:p>
            <w:pPr>
              <w:ind w:left="40"/>
              <w:spacing w:after="0"/>
              <w:rPr>
                <w:sz w:val="20"/>
                <w:szCs w:val="20"/>
                <w:color w:val="auto"/>
              </w:rPr>
            </w:pPr>
            <w:r>
              <w:rPr>
                <w:rFonts w:ascii="Arial" w:cs="Arial" w:eastAsia="Arial" w:hAnsi="Arial"/>
                <w:sz w:val="20"/>
                <w:szCs w:val="20"/>
                <w:b w:val="1"/>
                <w:bCs w:val="1"/>
                <w:color w:val="auto"/>
              </w:rPr>
              <w:t>Adjusted EBITDA margin</w:t>
            </w:r>
          </w:p>
        </w:tc>
        <w:tc>
          <w:tcPr>
            <w:tcW w:w="1860" w:type="dxa"/>
            <w:vAlign w:val="bottom"/>
            <w:tcBorders>
              <w:bottom w:val="single" w:sz="8" w:color="BFE4FF"/>
              <w:right w:val="single" w:sz="8" w:color="BFE4FF"/>
            </w:tcBorders>
          </w:tcPr>
          <w:p>
            <w:pPr>
              <w:jc w:val="right"/>
              <w:ind w:right="108"/>
              <w:spacing w:after="0"/>
              <w:rPr>
                <w:sz w:val="20"/>
                <w:szCs w:val="20"/>
                <w:color w:val="auto"/>
              </w:rPr>
            </w:pPr>
            <w:r>
              <w:rPr>
                <w:rFonts w:ascii="Arial" w:cs="Arial" w:eastAsia="Arial" w:hAnsi="Arial"/>
                <w:sz w:val="20"/>
                <w:szCs w:val="20"/>
                <w:color w:val="auto"/>
              </w:rPr>
              <w:t>14.8%</w:t>
            </w:r>
          </w:p>
        </w:tc>
        <w:tc>
          <w:tcPr>
            <w:tcW w:w="1920" w:type="dxa"/>
            <w:vAlign w:val="bottom"/>
            <w:tcBorders>
              <w:bottom w:val="single" w:sz="8" w:color="BFE4FF"/>
              <w:right w:val="single" w:sz="8" w:color="BFE4FF"/>
            </w:tcBorders>
          </w:tcPr>
          <w:p>
            <w:pPr>
              <w:jc w:val="right"/>
              <w:ind w:right="108"/>
              <w:spacing w:after="0"/>
              <w:rPr>
                <w:sz w:val="20"/>
                <w:szCs w:val="20"/>
                <w:color w:val="auto"/>
              </w:rPr>
            </w:pPr>
            <w:r>
              <w:rPr>
                <w:rFonts w:ascii="Arial" w:cs="Arial" w:eastAsia="Arial" w:hAnsi="Arial"/>
                <w:sz w:val="20"/>
                <w:szCs w:val="20"/>
                <w:color w:val="auto"/>
              </w:rPr>
              <w:t>10.6%</w:t>
            </w:r>
          </w:p>
        </w:tc>
        <w:tc>
          <w:tcPr>
            <w:tcW w:w="1640" w:type="dxa"/>
            <w:vAlign w:val="bottom"/>
            <w:tcBorders>
              <w:bottom w:val="single" w:sz="8" w:color="BFE4FF"/>
              <w:right w:val="single" w:sz="8" w:color="BFE4FF"/>
            </w:tcBorders>
          </w:tcPr>
          <w:p>
            <w:pPr>
              <w:jc w:val="center"/>
              <w:spacing w:after="0"/>
              <w:rPr>
                <w:sz w:val="20"/>
                <w:szCs w:val="20"/>
                <w:color w:val="auto"/>
              </w:rPr>
            </w:pPr>
            <w:r>
              <w:rPr>
                <w:rFonts w:ascii="Arial" w:cs="Arial" w:eastAsia="Arial" w:hAnsi="Arial"/>
                <w:sz w:val="20"/>
                <w:szCs w:val="20"/>
                <w:color w:val="auto"/>
                <w:w w:val="98"/>
              </w:rPr>
              <w:t>423 bps</w:t>
            </w:r>
          </w:p>
        </w:tc>
        <w:tc>
          <w:tcPr>
            <w:tcW w:w="0" w:type="dxa"/>
            <w:vAlign w:val="bottom"/>
          </w:tcPr>
          <w:p>
            <w:pPr>
              <w:spacing w:after="0"/>
              <w:rPr>
                <w:sz w:val="1"/>
                <w:szCs w:val="1"/>
                <w:color w:val="auto"/>
              </w:rPr>
            </w:pPr>
          </w:p>
        </w:tc>
      </w:tr>
      <w:tr>
        <w:trPr>
          <w:trHeight w:val="322"/>
        </w:trPr>
        <w:tc>
          <w:tcPr>
            <w:tcW w:w="6000" w:type="dxa"/>
            <w:vAlign w:val="bottom"/>
            <w:tcBorders>
              <w:left w:val="single" w:sz="8" w:color="BFE4FF"/>
              <w:bottom w:val="single" w:sz="8" w:color="BFE4FF"/>
              <w:right w:val="single" w:sz="8" w:color="BFE4FF"/>
            </w:tcBorders>
          </w:tcPr>
          <w:p>
            <w:pPr>
              <w:spacing w:after="0"/>
              <w:rPr>
                <w:sz w:val="24"/>
                <w:szCs w:val="24"/>
                <w:color w:val="auto"/>
              </w:rPr>
            </w:pPr>
          </w:p>
        </w:tc>
        <w:tc>
          <w:tcPr>
            <w:tcW w:w="1860" w:type="dxa"/>
            <w:vAlign w:val="bottom"/>
            <w:tcBorders>
              <w:bottom w:val="single" w:sz="8" w:color="BFE4FF"/>
              <w:right w:val="single" w:sz="8" w:color="BFE4FF"/>
            </w:tcBorders>
          </w:tcPr>
          <w:p>
            <w:pPr>
              <w:spacing w:after="0"/>
              <w:rPr>
                <w:sz w:val="24"/>
                <w:szCs w:val="24"/>
                <w:color w:val="auto"/>
              </w:rPr>
            </w:pPr>
          </w:p>
        </w:tc>
        <w:tc>
          <w:tcPr>
            <w:tcW w:w="1920" w:type="dxa"/>
            <w:vAlign w:val="bottom"/>
            <w:tcBorders>
              <w:bottom w:val="single" w:sz="8" w:color="BFE4FF"/>
              <w:right w:val="single" w:sz="8" w:color="BFE4FF"/>
            </w:tcBorders>
          </w:tcPr>
          <w:p>
            <w:pPr>
              <w:spacing w:after="0"/>
              <w:rPr>
                <w:sz w:val="24"/>
                <w:szCs w:val="24"/>
                <w:color w:val="auto"/>
              </w:rPr>
            </w:pPr>
          </w:p>
        </w:tc>
        <w:tc>
          <w:tcPr>
            <w:tcW w:w="1640" w:type="dxa"/>
            <w:vAlign w:val="bottom"/>
            <w:tcBorders>
              <w:bottom w:val="single" w:sz="8" w:color="CCEEFF"/>
              <w:right w:val="single" w:sz="8" w:color="BFE4FF"/>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6000" w:type="dxa"/>
            <w:vAlign w:val="bottom"/>
            <w:tcBorders>
              <w:left w:val="single" w:sz="8" w:color="BFE4FF"/>
              <w:bottom w:val="single" w:sz="8" w:color="BFE4FF"/>
              <w:right w:val="single" w:sz="8" w:color="BFE4FF"/>
            </w:tcBorders>
          </w:tcPr>
          <w:p>
            <w:pPr>
              <w:ind w:left="40"/>
              <w:spacing w:after="0"/>
              <w:rPr>
                <w:sz w:val="20"/>
                <w:szCs w:val="20"/>
                <w:color w:val="auto"/>
              </w:rPr>
            </w:pPr>
            <w:r>
              <w:rPr>
                <w:rFonts w:ascii="Arial" w:cs="Arial" w:eastAsia="Arial" w:hAnsi="Arial"/>
                <w:sz w:val="20"/>
                <w:szCs w:val="20"/>
                <w:b w:val="1"/>
                <w:bCs w:val="1"/>
                <w:color w:val="auto"/>
              </w:rPr>
              <w:t>Inbound orders</w:t>
            </w:r>
          </w:p>
        </w:tc>
        <w:tc>
          <w:tcPr>
            <w:tcW w:w="1860" w:type="dxa"/>
            <w:vAlign w:val="bottom"/>
            <w:tcBorders>
              <w:bottom w:val="single" w:sz="8" w:color="BFE4FF"/>
              <w:right w:val="single" w:sz="8" w:color="BFE4FF"/>
            </w:tcBorders>
          </w:tcPr>
          <w:p>
            <w:pPr>
              <w:jc w:val="right"/>
              <w:ind w:right="268"/>
              <w:spacing w:after="0"/>
              <w:rPr>
                <w:sz w:val="20"/>
                <w:szCs w:val="20"/>
                <w:color w:val="auto"/>
              </w:rPr>
            </w:pPr>
            <w:r>
              <w:rPr>
                <w:rFonts w:ascii="Arial" w:cs="Arial" w:eastAsia="Arial" w:hAnsi="Arial"/>
                <w:sz w:val="20"/>
                <w:szCs w:val="20"/>
                <w:color w:val="auto"/>
              </w:rPr>
              <w:t>$1,666.1</w:t>
            </w:r>
          </w:p>
        </w:tc>
        <w:tc>
          <w:tcPr>
            <w:tcW w:w="1920" w:type="dxa"/>
            <w:vAlign w:val="bottom"/>
            <w:tcBorders>
              <w:bottom w:val="single" w:sz="8" w:color="BFE4FF"/>
              <w:right w:val="single" w:sz="8" w:color="BFE4FF"/>
            </w:tcBorders>
          </w:tcPr>
          <w:p>
            <w:pPr>
              <w:jc w:val="right"/>
              <w:ind w:right="288"/>
              <w:spacing w:after="0"/>
              <w:rPr>
                <w:sz w:val="20"/>
                <w:szCs w:val="20"/>
                <w:color w:val="auto"/>
              </w:rPr>
            </w:pPr>
            <w:r>
              <w:rPr>
                <w:rFonts w:ascii="Arial" w:cs="Arial" w:eastAsia="Arial" w:hAnsi="Arial"/>
                <w:sz w:val="20"/>
                <w:szCs w:val="20"/>
                <w:color w:val="auto"/>
              </w:rPr>
              <w:t>$1,153.0</w:t>
            </w:r>
          </w:p>
        </w:tc>
        <w:tc>
          <w:tcPr>
            <w:tcW w:w="1640" w:type="dxa"/>
            <w:vAlign w:val="bottom"/>
            <w:tcBorders>
              <w:bottom w:val="single" w:sz="8" w:color="CCEEFF"/>
              <w:right w:val="single" w:sz="8" w:color="BFE4FF"/>
            </w:tcBorders>
          </w:tcPr>
          <w:p>
            <w:pPr>
              <w:jc w:val="center"/>
              <w:spacing w:after="0"/>
              <w:rPr>
                <w:sz w:val="20"/>
                <w:szCs w:val="20"/>
                <w:color w:val="auto"/>
              </w:rPr>
            </w:pPr>
            <w:r>
              <w:rPr>
                <w:rFonts w:ascii="Arial" w:cs="Arial" w:eastAsia="Arial" w:hAnsi="Arial"/>
                <w:sz w:val="20"/>
                <w:szCs w:val="20"/>
                <w:color w:val="auto"/>
                <w:w w:val="98"/>
              </w:rPr>
              <w:t>44.5%</w:t>
            </w:r>
          </w:p>
        </w:tc>
        <w:tc>
          <w:tcPr>
            <w:tcW w:w="0" w:type="dxa"/>
            <w:vAlign w:val="bottom"/>
          </w:tcPr>
          <w:p>
            <w:pPr>
              <w:spacing w:after="0"/>
              <w:rPr>
                <w:sz w:val="1"/>
                <w:szCs w:val="1"/>
                <w:color w:val="auto"/>
              </w:rPr>
            </w:pPr>
          </w:p>
        </w:tc>
      </w:tr>
      <w:tr>
        <w:trPr>
          <w:trHeight w:val="264"/>
        </w:trPr>
        <w:tc>
          <w:tcPr>
            <w:tcW w:w="6000" w:type="dxa"/>
            <w:vAlign w:val="bottom"/>
            <w:tcBorders>
              <w:left w:val="single" w:sz="8" w:color="BFE4FF"/>
              <w:bottom w:val="single" w:sz="8" w:color="BFE4FF"/>
              <w:right w:val="single" w:sz="8" w:color="BFE4FF"/>
            </w:tcBorders>
          </w:tcPr>
          <w:p>
            <w:pPr>
              <w:ind w:left="40"/>
              <w:spacing w:after="0"/>
              <w:rPr>
                <w:sz w:val="20"/>
                <w:szCs w:val="20"/>
                <w:color w:val="auto"/>
              </w:rPr>
            </w:pPr>
            <w:r>
              <w:rPr>
                <w:rFonts w:ascii="Arial" w:cs="Arial" w:eastAsia="Arial" w:hAnsi="Arial"/>
                <w:sz w:val="20"/>
                <w:szCs w:val="20"/>
                <w:b w:val="1"/>
                <w:bCs w:val="1"/>
                <w:color w:val="auto"/>
              </w:rPr>
              <w:t>Backlog</w:t>
            </w:r>
          </w:p>
        </w:tc>
        <w:tc>
          <w:tcPr>
            <w:tcW w:w="1860" w:type="dxa"/>
            <w:vAlign w:val="bottom"/>
            <w:tcBorders>
              <w:bottom w:val="single" w:sz="8" w:color="BFE4FF"/>
              <w:right w:val="single" w:sz="8" w:color="BFE4FF"/>
            </w:tcBorders>
          </w:tcPr>
          <w:p>
            <w:pPr>
              <w:jc w:val="right"/>
              <w:ind w:right="268"/>
              <w:spacing w:after="0"/>
              <w:rPr>
                <w:sz w:val="20"/>
                <w:szCs w:val="20"/>
                <w:color w:val="auto"/>
              </w:rPr>
            </w:pPr>
            <w:r>
              <w:rPr>
                <w:rFonts w:ascii="Arial" w:cs="Arial" w:eastAsia="Arial" w:hAnsi="Arial"/>
                <w:sz w:val="20"/>
                <w:szCs w:val="20"/>
                <w:color w:val="auto"/>
              </w:rPr>
              <w:t>$8,378.8</w:t>
            </w:r>
          </w:p>
        </w:tc>
        <w:tc>
          <w:tcPr>
            <w:tcW w:w="1920" w:type="dxa"/>
            <w:vAlign w:val="bottom"/>
            <w:tcBorders>
              <w:bottom w:val="single" w:sz="8" w:color="BFE4FF"/>
              <w:right w:val="single" w:sz="8" w:color="BFE4FF"/>
            </w:tcBorders>
          </w:tcPr>
          <w:p>
            <w:pPr>
              <w:jc w:val="right"/>
              <w:ind w:right="288"/>
              <w:spacing w:after="0"/>
              <w:rPr>
                <w:sz w:val="20"/>
                <w:szCs w:val="20"/>
                <w:color w:val="auto"/>
              </w:rPr>
            </w:pPr>
            <w:r>
              <w:rPr>
                <w:rFonts w:ascii="Arial" w:cs="Arial" w:eastAsia="Arial" w:hAnsi="Arial"/>
                <w:sz w:val="20"/>
                <w:szCs w:val="20"/>
                <w:color w:val="auto"/>
              </w:rPr>
              <w:t>$7,559.3</w:t>
            </w:r>
          </w:p>
        </w:tc>
        <w:tc>
          <w:tcPr>
            <w:tcW w:w="1640" w:type="dxa"/>
            <w:vAlign w:val="bottom"/>
            <w:tcBorders>
              <w:bottom w:val="single" w:sz="8" w:color="CCEEFF"/>
              <w:right w:val="single" w:sz="8" w:color="BFE4FF"/>
            </w:tcBorders>
          </w:tcPr>
          <w:p>
            <w:pPr>
              <w:jc w:val="center"/>
              <w:spacing w:after="0"/>
              <w:rPr>
                <w:sz w:val="20"/>
                <w:szCs w:val="20"/>
                <w:color w:val="auto"/>
              </w:rPr>
            </w:pPr>
            <w:r>
              <w:rPr>
                <w:rFonts w:ascii="Arial" w:cs="Arial" w:eastAsia="Arial" w:hAnsi="Arial"/>
                <w:sz w:val="20"/>
                <w:szCs w:val="20"/>
                <w:color w:val="auto"/>
                <w:w w:val="98"/>
              </w:rPr>
              <w:t>10.8%</w:t>
            </w:r>
          </w:p>
        </w:tc>
        <w:tc>
          <w:tcPr>
            <w:tcW w:w="0" w:type="dxa"/>
            <w:vAlign w:val="bottom"/>
          </w:tcPr>
          <w:p>
            <w:pPr>
              <w:spacing w:after="0"/>
              <w:rPr>
                <w:sz w:val="1"/>
                <w:szCs w:val="1"/>
                <w:color w:val="auto"/>
              </w:rPr>
            </w:pPr>
          </w:p>
        </w:tc>
      </w:tr>
    </w:tbl>
    <w:p>
      <w:pPr>
        <w:spacing w:after="0" w:line="158"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Onshore/Offshore reported third quarter revenue of $1,532.5 million. Revenue declined 33.6 percent from the prior-year quarter as we moved closer to completion on major projects, primarily Yamal LNG. The anticipated revenue decline was moderately offset by strong growth in our process technologies business.</w:t>
      </w:r>
    </w:p>
    <w:p>
      <w:pPr>
        <w:spacing w:after="0" w:line="152"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Onshore/Offshore reported operating profit of $243.4 million; Despite lower revenue, operating profit increased 17.9 percent versus the prior-year quarter. Operating results benefited from several factors in the quarter, including a bonus on Yamal LNG due to provisional acceptance of Train 2, a financial gain on the sale of an offshore yard, a reduction in restructuring and other severance charges, and strong project execution.</w:t>
      </w:r>
    </w:p>
    <w:p>
      <w:pPr>
        <w:spacing w:after="0" w:line="220"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Onshore/Offshore reported adjusted EBITDA of $ 227.3 million, which reflected a 7.1 percent decline versus the prior-year quarter despite a revenue decline of 33.6 percent for the same period. Partially offsetting the negative impact of the anticipated revenue decline were the bonus on Yamal LNG and strong project execution. Adjusted EBITDA margin increased 423 basis points from the prior-year results to 14.8 percent.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Third Quarter Onshore/Offshore Highlights</w:t>
      </w:r>
    </w:p>
    <w:p>
      <w:pPr>
        <w:spacing w:after="0" w:line="192"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20"/>
          <w:szCs w:val="20"/>
          <w:b w:val="1"/>
          <w:bCs w:val="1"/>
          <w:color w:val="auto"/>
        </w:rPr>
        <w:t xml:space="preserve">Yamal LNG </w:t>
      </w:r>
      <w:r>
        <w:rPr>
          <w:rFonts w:ascii="Arial" w:cs="Arial" w:eastAsia="Arial" w:hAnsi="Arial"/>
          <w:sz w:val="18"/>
          <w:szCs w:val="18"/>
          <w:b w:val="1"/>
          <w:bCs w:val="1"/>
          <w:color w:val="auto"/>
        </w:rPr>
        <w:t>(Russia)</w:t>
      </w:r>
    </w:p>
    <w:p>
      <w:pPr>
        <w:spacing w:after="0" w:line="23" w:lineRule="exact"/>
        <w:rPr>
          <w:rFonts w:ascii="Arial" w:cs="Arial" w:eastAsia="Arial" w:hAnsi="Arial"/>
          <w:sz w:val="18"/>
          <w:szCs w:val="18"/>
          <w:color w:val="auto"/>
        </w:rPr>
      </w:pPr>
    </w:p>
    <w:p>
      <w:pPr>
        <w:ind w:left="660"/>
        <w:spacing w:after="0" w:line="247" w:lineRule="auto"/>
        <w:rPr>
          <w:rFonts w:ascii="Arial" w:cs="Arial" w:eastAsia="Arial" w:hAnsi="Arial"/>
          <w:sz w:val="18"/>
          <w:szCs w:val="18"/>
          <w:color w:val="auto"/>
        </w:rPr>
      </w:pPr>
      <w:r>
        <w:rPr>
          <w:rFonts w:ascii="Arial" w:cs="Arial" w:eastAsia="Arial" w:hAnsi="Arial"/>
          <w:sz w:val="20"/>
          <w:szCs w:val="20"/>
          <w:color w:val="auto"/>
        </w:rPr>
        <w:t>Train 2 delivered ahead of schedule, reaching nameplate capacity just 17 days after first drop; construction and commissioning of Train 3 progressing well and is on-track for early delivery.</w:t>
      </w:r>
    </w:p>
    <w:p>
      <w:pPr>
        <w:spacing w:after="0" w:line="137" w:lineRule="exact"/>
        <w:rPr>
          <w:rFonts w:ascii="Arial" w:cs="Arial" w:eastAsia="Arial" w:hAnsi="Arial"/>
          <w:sz w:val="18"/>
          <w:szCs w:val="18"/>
          <w:color w:val="auto"/>
        </w:rPr>
      </w:pPr>
    </w:p>
    <w:p>
      <w:pPr>
        <w:ind w:left="660" w:right="7400" w:hanging="328"/>
        <w:spacing w:after="0" w:line="299"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9"/>
          <w:szCs w:val="19"/>
          <w:b w:val="1"/>
          <w:bCs w:val="1"/>
          <w:color w:val="auto"/>
        </w:rPr>
        <w:t xml:space="preserve">ENI Coral South FLNG </w:t>
      </w:r>
      <w:r>
        <w:rPr>
          <w:rFonts w:ascii="Arial" w:cs="Arial" w:eastAsia="Arial" w:hAnsi="Arial"/>
          <w:sz w:val="17"/>
          <w:szCs w:val="17"/>
          <w:b w:val="1"/>
          <w:bCs w:val="1"/>
          <w:color w:val="auto"/>
        </w:rPr>
        <w:t>(Mozambique)</w:t>
      </w:r>
      <w:r>
        <w:rPr>
          <w:rFonts w:ascii="Arial" w:cs="Arial" w:eastAsia="Arial" w:hAnsi="Arial"/>
          <w:sz w:val="19"/>
          <w:szCs w:val="19"/>
          <w:b w:val="1"/>
          <w:bCs w:val="1"/>
          <w:color w:val="auto"/>
        </w:rPr>
        <w:t xml:space="preserve"> </w:t>
      </w:r>
      <w:r>
        <w:rPr>
          <w:rFonts w:ascii="Arial" w:cs="Arial" w:eastAsia="Arial" w:hAnsi="Arial"/>
          <w:sz w:val="19"/>
          <w:szCs w:val="19"/>
          <w:color w:val="auto"/>
        </w:rPr>
        <w:t>First steel cut for hull in September.</w:t>
      </w:r>
    </w:p>
    <w:p>
      <w:pPr>
        <w:spacing w:after="0" w:line="90" w:lineRule="exact"/>
        <w:rPr>
          <w:rFonts w:ascii="Arial" w:cs="Arial" w:eastAsia="Arial" w:hAnsi="Arial"/>
          <w:sz w:val="17"/>
          <w:szCs w:val="17"/>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20"/>
          <w:szCs w:val="20"/>
          <w:b w:val="1"/>
          <w:bCs w:val="1"/>
          <w:color w:val="auto"/>
        </w:rPr>
        <w:t xml:space="preserve">Martin Linge </w:t>
      </w:r>
      <w:r>
        <w:rPr>
          <w:rFonts w:ascii="Arial" w:cs="Arial" w:eastAsia="Arial" w:hAnsi="Arial"/>
          <w:sz w:val="18"/>
          <w:szCs w:val="18"/>
          <w:b w:val="1"/>
          <w:bCs w:val="1"/>
          <w:color w:val="auto"/>
        </w:rPr>
        <w:t>(Norway)</w:t>
      </w:r>
    </w:p>
    <w:p>
      <w:pPr>
        <w:spacing w:after="0" w:line="23" w:lineRule="exact"/>
        <w:rPr>
          <w:rFonts w:ascii="Arial" w:cs="Arial" w:eastAsia="Arial" w:hAnsi="Arial"/>
          <w:sz w:val="18"/>
          <w:szCs w:val="18"/>
          <w:color w:val="auto"/>
        </w:rPr>
      </w:pPr>
    </w:p>
    <w:p>
      <w:pPr>
        <w:ind w:left="660"/>
        <w:spacing w:after="0" w:line="247" w:lineRule="auto"/>
        <w:rPr>
          <w:rFonts w:ascii="Arial" w:cs="Arial" w:eastAsia="Arial" w:hAnsi="Arial"/>
          <w:sz w:val="18"/>
          <w:szCs w:val="18"/>
          <w:color w:val="auto"/>
        </w:rPr>
      </w:pPr>
      <w:r>
        <w:rPr>
          <w:rFonts w:ascii="Arial" w:cs="Arial" w:eastAsia="Arial" w:hAnsi="Arial"/>
          <w:sz w:val="20"/>
          <w:szCs w:val="20"/>
          <w:color w:val="auto"/>
        </w:rPr>
        <w:t>Successful offshore lifting campaign with four heavy lifts (Process, Utility, Flare, and Living Quarter modules) in four days; offshore campaign for modules hook-up and commissioning started.</w:t>
      </w:r>
    </w:p>
    <w:p>
      <w:pPr>
        <w:sectPr>
          <w:pgSz w:w="11900" w:h="16838" w:orient="portrait"/>
          <w:cols w:equalWidth="0" w:num="1">
            <w:col w:w="11420"/>
          </w:cols>
          <w:pgMar w:left="240" w:top="517" w:right="239" w:bottom="1440" w:gutter="0" w:footer="0" w:header="0"/>
        </w:sectPr>
      </w:pPr>
    </w:p>
    <w:bookmarkStart w:id="9" w:name="page10"/>
    <w:bookmarkEnd w:id="9"/>
    <w:p>
      <w:pPr>
        <w:spacing w:after="0" w:line="247" w:lineRule="auto"/>
        <w:rPr>
          <w:sz w:val="20"/>
          <w:szCs w:val="20"/>
          <w:color w:val="auto"/>
        </w:rPr>
      </w:pPr>
      <w:r>
        <w:rPr>
          <w:rFonts w:ascii="Arial" w:cs="Arial" w:eastAsia="Arial" w:hAnsi="Arial"/>
          <w:sz w:val="20"/>
          <w:szCs w:val="20"/>
          <w:color w:val="auto"/>
        </w:rPr>
        <w:t>Onshore/Offshore inbound orders for the quarter were $1,666.1 million; The following announced award was included in the period:</w:t>
      </w:r>
    </w:p>
    <w:p>
      <w:pPr>
        <w:spacing w:after="0" w:line="124"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20"/>
          <w:szCs w:val="20"/>
          <w:b w:val="1"/>
          <w:bCs w:val="1"/>
          <w:color w:val="auto"/>
        </w:rPr>
        <w:t xml:space="preserve">Long Son Petrochemicals Co., Ltd. Olefins Plant </w:t>
      </w:r>
      <w:r>
        <w:rPr>
          <w:rFonts w:ascii="Arial" w:cs="Arial" w:eastAsia="Arial" w:hAnsi="Arial"/>
          <w:sz w:val="18"/>
          <w:szCs w:val="18"/>
          <w:b w:val="1"/>
          <w:bCs w:val="1"/>
          <w:color w:val="auto"/>
        </w:rPr>
        <w:t>(Vietnam)</w:t>
      </w:r>
    </w:p>
    <w:p>
      <w:pPr>
        <w:spacing w:after="0" w:line="23" w:lineRule="exact"/>
        <w:rPr>
          <w:rFonts w:ascii="Arial" w:cs="Arial" w:eastAsia="Arial" w:hAnsi="Arial"/>
          <w:sz w:val="18"/>
          <w:szCs w:val="18"/>
          <w:color w:val="auto"/>
        </w:rPr>
      </w:pPr>
    </w:p>
    <w:p>
      <w:pPr>
        <w:jc w:val="both"/>
        <w:ind w:left="660"/>
        <w:spacing w:after="0"/>
        <w:rPr>
          <w:rFonts w:ascii="Arial" w:cs="Arial" w:eastAsia="Arial" w:hAnsi="Arial"/>
          <w:sz w:val="18"/>
          <w:szCs w:val="18"/>
          <w:color w:val="auto"/>
        </w:rPr>
      </w:pPr>
      <w:r>
        <w:rPr>
          <w:rFonts w:ascii="Arial" w:cs="Arial" w:eastAsia="Arial" w:hAnsi="Arial"/>
          <w:sz w:val="20"/>
          <w:szCs w:val="20"/>
          <w:color w:val="auto"/>
        </w:rPr>
        <w:t>Large* award for the licensing, engineering, procurement, construction, commissioning, and start-up of Vietnam’s first olefins plant on Long Son Island, Ba Ria-Vung Tau province. The plant will include proprietary licensed units and will be based on TechnipFMC’s proprietary ethylene technology. TechnipFMC is executing the project in a consortium with SK Engineering &amp; Construction Co., Ltd. of South Korea.</w:t>
      </w:r>
    </w:p>
    <w:p>
      <w:pPr>
        <w:spacing w:after="0" w:line="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i w:val="1"/>
          <w:iCs w:val="1"/>
          <w:color w:val="auto"/>
        </w:rPr>
        <w:t>* A “large” award ranges between $500 million and $1 billion (TechnipFMC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1560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56083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7320" w:type="dxa"/>
            <w:vAlign w:val="bottom"/>
          </w:tcPr>
          <w:p>
            <w:pPr>
              <w:ind w:left="40"/>
              <w:spacing w:after="0"/>
              <w:rPr>
                <w:sz w:val="20"/>
                <w:szCs w:val="20"/>
                <w:color w:val="auto"/>
              </w:rPr>
            </w:pPr>
            <w:r>
              <w:rPr>
                <w:rFonts w:ascii="Arial" w:cs="Arial" w:eastAsia="Arial" w:hAnsi="Arial"/>
                <w:sz w:val="20"/>
                <w:szCs w:val="20"/>
                <w:b w:val="1"/>
                <w:bCs w:val="1"/>
                <w:color w:val="auto"/>
              </w:rPr>
              <w:t>Onshore/Offshore</w:t>
            </w:r>
          </w:p>
        </w:tc>
        <w:tc>
          <w:tcPr>
            <w:tcW w:w="2080" w:type="dxa"/>
            <w:vAlign w:val="bottom"/>
          </w:tcPr>
          <w:p>
            <w:pPr>
              <w:spacing w:after="0"/>
              <w:rPr>
                <w:sz w:val="22"/>
                <w:szCs w:val="22"/>
                <w:color w:val="auto"/>
              </w:rPr>
            </w:pPr>
          </w:p>
        </w:tc>
        <w:tc>
          <w:tcPr>
            <w:tcW w:w="2020" w:type="dxa"/>
            <w:vAlign w:val="bottom"/>
          </w:tcPr>
          <w:p>
            <w:pPr>
              <w:spacing w:after="0"/>
              <w:rPr>
                <w:sz w:val="22"/>
                <w:szCs w:val="22"/>
                <w:color w:val="auto"/>
              </w:rPr>
            </w:pPr>
          </w:p>
        </w:tc>
      </w:tr>
      <w:tr>
        <w:trPr>
          <w:trHeight w:val="185"/>
        </w:trPr>
        <w:tc>
          <w:tcPr>
            <w:tcW w:w="7320" w:type="dxa"/>
            <w:vAlign w:val="bottom"/>
            <w:tcBorders>
              <w:bottom w:val="single" w:sz="8" w:color="BFE4FF"/>
            </w:tcBorders>
          </w:tcPr>
          <w:p>
            <w:pPr>
              <w:spacing w:after="0"/>
              <w:rPr>
                <w:sz w:val="16"/>
                <w:szCs w:val="16"/>
                <w:color w:val="auto"/>
              </w:rPr>
            </w:pPr>
          </w:p>
        </w:tc>
        <w:tc>
          <w:tcPr>
            <w:tcW w:w="208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254"/>
        </w:trPr>
        <w:tc>
          <w:tcPr>
            <w:tcW w:w="7320" w:type="dxa"/>
            <w:vAlign w:val="bottom"/>
          </w:tcPr>
          <w:p>
            <w:pPr>
              <w:ind w:left="40"/>
              <w:spacing w:after="0"/>
              <w:rPr>
                <w:sz w:val="20"/>
                <w:szCs w:val="20"/>
                <w:color w:val="auto"/>
              </w:rPr>
            </w:pPr>
            <w:r>
              <w:rPr>
                <w:rFonts w:ascii="Arial" w:cs="Arial" w:eastAsia="Arial" w:hAnsi="Arial"/>
                <w:sz w:val="20"/>
                <w:szCs w:val="20"/>
                <w:color w:val="auto"/>
              </w:rPr>
              <w:t>Estimated Backlog Scheduling as of September 30, 2018</w:t>
            </w:r>
          </w:p>
        </w:tc>
        <w:tc>
          <w:tcPr>
            <w:tcW w:w="2080" w:type="dxa"/>
            <w:vAlign w:val="bottom"/>
          </w:tcPr>
          <w:p>
            <w:pPr>
              <w:spacing w:after="0"/>
              <w:rPr>
                <w:sz w:val="22"/>
                <w:szCs w:val="22"/>
                <w:color w:val="auto"/>
              </w:rPr>
            </w:pPr>
          </w:p>
        </w:tc>
        <w:tc>
          <w:tcPr>
            <w:tcW w:w="2020" w:type="dxa"/>
            <w:vAlign w:val="bottom"/>
          </w:tcPr>
          <w:p>
            <w:pPr>
              <w:spacing w:after="0"/>
              <w:rPr>
                <w:sz w:val="22"/>
                <w:szCs w:val="22"/>
                <w:color w:val="auto"/>
              </w:rPr>
            </w:pPr>
          </w:p>
        </w:tc>
      </w:tr>
      <w:tr>
        <w:trPr>
          <w:trHeight w:val="347"/>
        </w:trPr>
        <w:tc>
          <w:tcPr>
            <w:tcW w:w="732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080" w:type="dxa"/>
            <w:vAlign w:val="bottom"/>
          </w:tcPr>
          <w:p>
            <w:pPr>
              <w:jc w:val="right"/>
              <w:ind w:right="321"/>
              <w:spacing w:after="0"/>
              <w:rPr>
                <w:sz w:val="20"/>
                <w:szCs w:val="20"/>
                <w:color w:val="auto"/>
              </w:rPr>
            </w:pPr>
            <w:r>
              <w:rPr>
                <w:rFonts w:ascii="Arial" w:cs="Arial" w:eastAsia="Arial" w:hAnsi="Arial"/>
                <w:sz w:val="20"/>
                <w:szCs w:val="20"/>
                <w:b w:val="1"/>
                <w:bCs w:val="1"/>
                <w:color w:val="auto"/>
              </w:rPr>
              <w:t>Consolidated</w:t>
            </w:r>
          </w:p>
        </w:tc>
        <w:tc>
          <w:tcPr>
            <w:tcW w:w="2020" w:type="dxa"/>
            <w:vAlign w:val="bottom"/>
          </w:tcPr>
          <w:p>
            <w:pPr>
              <w:jc w:val="right"/>
              <w:ind w:right="101"/>
              <w:spacing w:after="0"/>
              <w:rPr>
                <w:sz w:val="20"/>
                <w:szCs w:val="20"/>
                <w:color w:val="auto"/>
              </w:rPr>
            </w:pPr>
            <w:r>
              <w:rPr>
                <w:rFonts w:ascii="Arial" w:cs="Arial" w:eastAsia="Arial" w:hAnsi="Arial"/>
                <w:sz w:val="20"/>
                <w:szCs w:val="20"/>
                <w:b w:val="1"/>
                <w:bCs w:val="1"/>
                <w:color w:val="auto"/>
              </w:rPr>
              <w:t>Non-consolidated</w:t>
            </w:r>
          </w:p>
        </w:tc>
      </w:tr>
      <w:tr>
        <w:trPr>
          <w:trHeight w:val="230"/>
        </w:trPr>
        <w:tc>
          <w:tcPr>
            <w:tcW w:w="7320" w:type="dxa"/>
            <w:vAlign w:val="bottom"/>
            <w:tcBorders>
              <w:bottom w:val="single" w:sz="8" w:color="CCEEFF"/>
            </w:tcBorders>
          </w:tcPr>
          <w:p>
            <w:pPr>
              <w:spacing w:after="0"/>
              <w:rPr>
                <w:sz w:val="19"/>
                <w:szCs w:val="19"/>
                <w:color w:val="auto"/>
              </w:rPr>
            </w:pPr>
          </w:p>
        </w:tc>
        <w:tc>
          <w:tcPr>
            <w:tcW w:w="2080" w:type="dxa"/>
            <w:vAlign w:val="bottom"/>
            <w:tcBorders>
              <w:bottom w:val="single" w:sz="8" w:color="CCEEFF"/>
            </w:tcBorders>
          </w:tcPr>
          <w:p>
            <w:pPr>
              <w:jc w:val="right"/>
              <w:ind w:right="581"/>
              <w:spacing w:after="0"/>
              <w:rPr>
                <w:sz w:val="20"/>
                <w:szCs w:val="20"/>
                <w:color w:val="auto"/>
              </w:rPr>
            </w:pPr>
            <w:r>
              <w:rPr>
                <w:rFonts w:ascii="Arial" w:cs="Arial" w:eastAsia="Arial" w:hAnsi="Arial"/>
                <w:sz w:val="20"/>
                <w:szCs w:val="20"/>
                <w:b w:val="1"/>
                <w:bCs w:val="1"/>
                <w:color w:val="auto"/>
              </w:rPr>
              <w:t>backlog</w:t>
            </w:r>
          </w:p>
        </w:tc>
        <w:tc>
          <w:tcPr>
            <w:tcW w:w="2020" w:type="dxa"/>
            <w:vAlign w:val="bottom"/>
            <w:tcBorders>
              <w:bottom w:val="single" w:sz="8" w:color="CCEEFF"/>
            </w:tcBorders>
          </w:tcPr>
          <w:p>
            <w:pPr>
              <w:jc w:val="right"/>
              <w:ind w:right="521"/>
              <w:spacing w:after="0"/>
              <w:rPr>
                <w:sz w:val="20"/>
                <w:szCs w:val="20"/>
                <w:color w:val="auto"/>
              </w:rPr>
            </w:pPr>
            <w:r>
              <w:rPr>
                <w:rFonts w:ascii="Arial" w:cs="Arial" w:eastAsia="Arial" w:hAnsi="Arial"/>
                <w:sz w:val="20"/>
                <w:szCs w:val="20"/>
                <w:b w:val="1"/>
                <w:bCs w:val="1"/>
                <w:color w:val="auto"/>
              </w:rPr>
              <w:t>backlog*</w:t>
            </w:r>
          </w:p>
        </w:tc>
      </w:tr>
      <w:tr>
        <w:trPr>
          <w:trHeight w:val="259"/>
        </w:trPr>
        <w:tc>
          <w:tcPr>
            <w:tcW w:w="7320" w:type="dxa"/>
            <w:vAlign w:val="bottom"/>
            <w:tcBorders>
              <w:bottom w:val="single" w:sz="8" w:color="BFE4FF"/>
            </w:tcBorders>
          </w:tcPr>
          <w:p>
            <w:pPr>
              <w:ind w:left="40"/>
              <w:spacing w:after="0"/>
              <w:rPr>
                <w:sz w:val="20"/>
                <w:szCs w:val="20"/>
                <w:color w:val="auto"/>
              </w:rPr>
            </w:pPr>
            <w:r>
              <w:rPr>
                <w:rFonts w:ascii="Arial" w:cs="Arial" w:eastAsia="Arial" w:hAnsi="Arial"/>
                <w:sz w:val="20"/>
                <w:szCs w:val="20"/>
                <w:b w:val="1"/>
                <w:bCs w:val="1"/>
                <w:color w:val="auto"/>
              </w:rPr>
              <w:t>2018 (3 months)</w:t>
            </w:r>
          </w:p>
        </w:tc>
        <w:tc>
          <w:tcPr>
            <w:tcW w:w="2080" w:type="dxa"/>
            <w:vAlign w:val="bottom"/>
            <w:tcBorders>
              <w:bottom w:val="single" w:sz="8" w:color="BFE4FF"/>
            </w:tcBorders>
          </w:tcPr>
          <w:p>
            <w:pPr>
              <w:jc w:val="right"/>
              <w:ind w:right="41"/>
              <w:spacing w:after="0"/>
              <w:rPr>
                <w:sz w:val="20"/>
                <w:szCs w:val="20"/>
                <w:color w:val="auto"/>
              </w:rPr>
            </w:pPr>
            <w:r>
              <w:rPr>
                <w:rFonts w:ascii="Arial" w:cs="Arial" w:eastAsia="Arial" w:hAnsi="Arial"/>
                <w:sz w:val="20"/>
                <w:szCs w:val="20"/>
                <w:color w:val="auto"/>
              </w:rPr>
              <w:t>$1,602.0</w:t>
            </w:r>
          </w:p>
        </w:tc>
        <w:tc>
          <w:tcPr>
            <w:tcW w:w="2020" w:type="dxa"/>
            <w:vAlign w:val="bottom"/>
            <w:tcBorders>
              <w:bottom w:val="single" w:sz="8" w:color="BFE4FF"/>
            </w:tcBorders>
          </w:tcPr>
          <w:p>
            <w:pPr>
              <w:jc w:val="right"/>
              <w:ind w:right="21"/>
              <w:spacing w:after="0"/>
              <w:rPr>
                <w:sz w:val="20"/>
                <w:szCs w:val="20"/>
                <w:color w:val="auto"/>
              </w:rPr>
            </w:pPr>
            <w:r>
              <w:rPr>
                <w:rFonts w:ascii="Arial" w:cs="Arial" w:eastAsia="Arial" w:hAnsi="Arial"/>
                <w:sz w:val="20"/>
                <w:szCs w:val="20"/>
                <w:color w:val="auto"/>
              </w:rPr>
              <w:t>$63.3</w:t>
            </w:r>
          </w:p>
        </w:tc>
      </w:tr>
      <w:tr>
        <w:trPr>
          <w:trHeight w:val="264"/>
        </w:trPr>
        <w:tc>
          <w:tcPr>
            <w:tcW w:w="7320" w:type="dxa"/>
            <w:vAlign w:val="bottom"/>
            <w:tcBorders>
              <w:bottom w:val="single" w:sz="8" w:color="BFE4FF"/>
            </w:tcBorders>
          </w:tcPr>
          <w:p>
            <w:pPr>
              <w:ind w:left="40"/>
              <w:spacing w:after="0"/>
              <w:rPr>
                <w:sz w:val="20"/>
                <w:szCs w:val="20"/>
                <w:color w:val="auto"/>
              </w:rPr>
            </w:pPr>
            <w:r>
              <w:rPr>
                <w:rFonts w:ascii="Arial" w:cs="Arial" w:eastAsia="Arial" w:hAnsi="Arial"/>
                <w:sz w:val="20"/>
                <w:szCs w:val="20"/>
                <w:b w:val="1"/>
                <w:bCs w:val="1"/>
                <w:color w:val="auto"/>
              </w:rPr>
              <w:t>2019</w:t>
            </w:r>
          </w:p>
        </w:tc>
        <w:tc>
          <w:tcPr>
            <w:tcW w:w="2080" w:type="dxa"/>
            <w:vAlign w:val="bottom"/>
            <w:tcBorders>
              <w:bottom w:val="single" w:sz="8" w:color="BFE4FF"/>
            </w:tcBorders>
          </w:tcPr>
          <w:p>
            <w:pPr>
              <w:jc w:val="right"/>
              <w:ind w:right="41"/>
              <w:spacing w:after="0"/>
              <w:rPr>
                <w:sz w:val="20"/>
                <w:szCs w:val="20"/>
                <w:color w:val="auto"/>
              </w:rPr>
            </w:pPr>
            <w:r>
              <w:rPr>
                <w:rFonts w:ascii="Arial" w:cs="Arial" w:eastAsia="Arial" w:hAnsi="Arial"/>
                <w:sz w:val="20"/>
                <w:szCs w:val="20"/>
                <w:color w:val="auto"/>
              </w:rPr>
              <w:t>$4,194.7</w:t>
            </w:r>
          </w:p>
        </w:tc>
        <w:tc>
          <w:tcPr>
            <w:tcW w:w="2020" w:type="dxa"/>
            <w:vAlign w:val="bottom"/>
            <w:tcBorders>
              <w:bottom w:val="single" w:sz="8" w:color="BFE4FF"/>
            </w:tcBorders>
          </w:tcPr>
          <w:p>
            <w:pPr>
              <w:jc w:val="right"/>
              <w:ind w:right="21"/>
              <w:spacing w:after="0"/>
              <w:rPr>
                <w:sz w:val="20"/>
                <w:szCs w:val="20"/>
                <w:color w:val="auto"/>
              </w:rPr>
            </w:pPr>
            <w:r>
              <w:rPr>
                <w:rFonts w:ascii="Arial" w:cs="Arial" w:eastAsia="Arial" w:hAnsi="Arial"/>
                <w:sz w:val="20"/>
                <w:szCs w:val="20"/>
                <w:color w:val="auto"/>
              </w:rPr>
              <w:t>$718.5</w:t>
            </w:r>
          </w:p>
        </w:tc>
      </w:tr>
      <w:tr>
        <w:trPr>
          <w:trHeight w:val="264"/>
        </w:trPr>
        <w:tc>
          <w:tcPr>
            <w:tcW w:w="7320" w:type="dxa"/>
            <w:vAlign w:val="bottom"/>
            <w:tcBorders>
              <w:bottom w:val="single" w:sz="8" w:color="BFE4FF"/>
            </w:tcBorders>
          </w:tcPr>
          <w:p>
            <w:pPr>
              <w:ind w:left="40"/>
              <w:spacing w:after="0"/>
              <w:rPr>
                <w:sz w:val="20"/>
                <w:szCs w:val="20"/>
                <w:color w:val="auto"/>
              </w:rPr>
            </w:pPr>
            <w:r>
              <w:rPr>
                <w:rFonts w:ascii="Arial" w:cs="Arial" w:eastAsia="Arial" w:hAnsi="Arial"/>
                <w:sz w:val="20"/>
                <w:szCs w:val="20"/>
                <w:b w:val="1"/>
                <w:bCs w:val="1"/>
                <w:color w:val="auto"/>
              </w:rPr>
              <w:t>2020 and beyond</w:t>
            </w:r>
          </w:p>
        </w:tc>
        <w:tc>
          <w:tcPr>
            <w:tcW w:w="2080" w:type="dxa"/>
            <w:vAlign w:val="bottom"/>
            <w:tcBorders>
              <w:bottom w:val="single" w:sz="8" w:color="BFE4FF"/>
            </w:tcBorders>
          </w:tcPr>
          <w:p>
            <w:pPr>
              <w:jc w:val="right"/>
              <w:ind w:right="41"/>
              <w:spacing w:after="0"/>
              <w:rPr>
                <w:sz w:val="20"/>
                <w:szCs w:val="20"/>
                <w:color w:val="auto"/>
              </w:rPr>
            </w:pPr>
            <w:r>
              <w:rPr>
                <w:rFonts w:ascii="Arial" w:cs="Arial" w:eastAsia="Arial" w:hAnsi="Arial"/>
                <w:sz w:val="20"/>
                <w:szCs w:val="20"/>
                <w:color w:val="auto"/>
              </w:rPr>
              <w:t>$2,582.1</w:t>
            </w:r>
          </w:p>
        </w:tc>
        <w:tc>
          <w:tcPr>
            <w:tcW w:w="2020" w:type="dxa"/>
            <w:vAlign w:val="bottom"/>
            <w:tcBorders>
              <w:bottom w:val="single" w:sz="8" w:color="BFE4FF"/>
            </w:tcBorders>
          </w:tcPr>
          <w:p>
            <w:pPr>
              <w:jc w:val="right"/>
              <w:ind w:right="21"/>
              <w:spacing w:after="0"/>
              <w:rPr>
                <w:sz w:val="20"/>
                <w:szCs w:val="20"/>
                <w:color w:val="auto"/>
              </w:rPr>
            </w:pPr>
            <w:r>
              <w:rPr>
                <w:rFonts w:ascii="Arial" w:cs="Arial" w:eastAsia="Arial" w:hAnsi="Arial"/>
                <w:sz w:val="20"/>
                <w:szCs w:val="20"/>
                <w:color w:val="auto"/>
              </w:rPr>
              <w:t>$1,142.4</w:t>
            </w:r>
          </w:p>
        </w:tc>
      </w:tr>
      <w:tr>
        <w:trPr>
          <w:trHeight w:val="259"/>
        </w:trPr>
        <w:tc>
          <w:tcPr>
            <w:tcW w:w="7320" w:type="dxa"/>
            <w:vAlign w:val="bottom"/>
          </w:tcPr>
          <w:p>
            <w:pPr>
              <w:ind w:left="40"/>
              <w:spacing w:after="0"/>
              <w:rPr>
                <w:sz w:val="20"/>
                <w:szCs w:val="20"/>
                <w:color w:val="auto"/>
              </w:rPr>
            </w:pPr>
            <w:r>
              <w:rPr>
                <w:rFonts w:ascii="Arial" w:cs="Arial" w:eastAsia="Arial" w:hAnsi="Arial"/>
                <w:sz w:val="20"/>
                <w:szCs w:val="20"/>
                <w:b w:val="1"/>
                <w:bCs w:val="1"/>
                <w:color w:val="auto"/>
              </w:rPr>
              <w:t>Total</w:t>
            </w:r>
          </w:p>
        </w:tc>
        <w:tc>
          <w:tcPr>
            <w:tcW w:w="2080" w:type="dxa"/>
            <w:vAlign w:val="bottom"/>
          </w:tcPr>
          <w:p>
            <w:pPr>
              <w:jc w:val="right"/>
              <w:ind w:right="41"/>
              <w:spacing w:after="0"/>
              <w:rPr>
                <w:sz w:val="20"/>
                <w:szCs w:val="20"/>
                <w:color w:val="auto"/>
              </w:rPr>
            </w:pPr>
            <w:r>
              <w:rPr>
                <w:rFonts w:ascii="Arial" w:cs="Arial" w:eastAsia="Arial" w:hAnsi="Arial"/>
                <w:sz w:val="20"/>
                <w:szCs w:val="20"/>
                <w:b w:val="1"/>
                <w:bCs w:val="1"/>
                <w:color w:val="auto"/>
              </w:rPr>
              <w:t>$8,378.8</w:t>
            </w:r>
          </w:p>
        </w:tc>
        <w:tc>
          <w:tcPr>
            <w:tcW w:w="2020" w:type="dxa"/>
            <w:vAlign w:val="bottom"/>
          </w:tcPr>
          <w:p>
            <w:pPr>
              <w:jc w:val="right"/>
              <w:ind w:right="21"/>
              <w:spacing w:after="0"/>
              <w:rPr>
                <w:sz w:val="20"/>
                <w:szCs w:val="20"/>
                <w:color w:val="auto"/>
              </w:rPr>
            </w:pPr>
            <w:r>
              <w:rPr>
                <w:rFonts w:ascii="Arial" w:cs="Arial" w:eastAsia="Arial" w:hAnsi="Arial"/>
                <w:sz w:val="20"/>
                <w:szCs w:val="20"/>
                <w:b w:val="1"/>
                <w:bCs w:val="1"/>
                <w:color w:val="auto"/>
              </w:rPr>
              <w:t>$1,924.2</w:t>
            </w:r>
          </w:p>
        </w:tc>
      </w:tr>
    </w:tbl>
    <w:p>
      <w:pPr>
        <w:spacing w:after="0" w:line="4" w:lineRule="exact"/>
        <w:rPr>
          <w:sz w:val="20"/>
          <w:szCs w:val="20"/>
          <w:color w:val="auto"/>
        </w:rPr>
      </w:pPr>
    </w:p>
    <w:p>
      <w:pPr>
        <w:ind w:left="340" w:right="560" w:hanging="332"/>
        <w:spacing w:after="0" w:line="282" w:lineRule="auto"/>
        <w:tabs>
          <w:tab w:leader="none" w:pos="136"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Non-consolidated backlog reflects the proportional share of backlog related to joint ventures that is not consolidated due to our minority ownership position.</w:t>
      </w:r>
    </w:p>
    <w:p>
      <w:pPr>
        <w:sectPr>
          <w:pgSz w:w="11900" w:h="16838" w:orient="portrait"/>
          <w:cols w:equalWidth="0" w:num="1">
            <w:col w:w="11420"/>
          </w:cols>
          <w:pgMar w:left="240" w:top="379" w:right="239" w:bottom="1440" w:gutter="0" w:footer="0" w:header="0"/>
        </w:sectPr>
      </w:pPr>
    </w:p>
    <w:bookmarkStart w:id="10" w:name="page11"/>
    <w:bookmarkEnd w:id="10"/>
    <w:p>
      <w:pPr>
        <w:ind w:left="40"/>
        <w:spacing w:after="0"/>
        <w:rPr>
          <w:sz w:val="20"/>
          <w:szCs w:val="20"/>
          <w:color w:val="auto"/>
        </w:rPr>
      </w:pPr>
      <w:r>
        <w:rPr>
          <w:rFonts w:ascii="Arial" w:cs="Arial" w:eastAsia="Arial" w:hAnsi="Arial"/>
          <w:sz w:val="20"/>
          <w:szCs w:val="20"/>
          <w:b w:val="1"/>
          <w:bCs w:val="1"/>
          <w:color w:val="auto"/>
        </w:rPr>
        <w:t>Surface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Highlights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of U.S. GAAP to non-GAAP financial measures are detailed below and in the financial schedules.</w:t>
      </w:r>
    </w:p>
    <w:p>
      <w:pPr>
        <w:spacing w:after="0" w:line="125"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6020" w:type="dxa"/>
            <w:vAlign w:val="bottom"/>
            <w:tcBorders>
              <w:top w:val="single" w:sz="8" w:color="BFE4FF"/>
              <w:left w:val="single" w:sz="8" w:color="BFE4FF"/>
              <w:right w:val="single" w:sz="8" w:color="BFE4FF"/>
            </w:tcBorders>
          </w:tcPr>
          <w:p>
            <w:pPr>
              <w:spacing w:after="0"/>
              <w:rPr>
                <w:sz w:val="18"/>
                <w:szCs w:val="18"/>
                <w:color w:val="auto"/>
              </w:rPr>
            </w:pPr>
          </w:p>
        </w:tc>
        <w:tc>
          <w:tcPr>
            <w:tcW w:w="1880" w:type="dxa"/>
            <w:vAlign w:val="bottom"/>
            <w:tcBorders>
              <w:top w:val="single" w:sz="8" w:color="BFE4FF"/>
              <w:right w:val="single" w:sz="8" w:color="BFE4FF"/>
            </w:tcBorders>
          </w:tcPr>
          <w:p>
            <w:pPr>
              <w:jc w:val="right"/>
              <w:ind w:right="148"/>
              <w:spacing w:after="0"/>
              <w:rPr>
                <w:sz w:val="20"/>
                <w:szCs w:val="20"/>
                <w:color w:val="auto"/>
              </w:rPr>
            </w:pPr>
            <w:r>
              <w:rPr>
                <w:rFonts w:ascii="Arial" w:cs="Arial" w:eastAsia="Arial" w:hAnsi="Arial"/>
                <w:sz w:val="14"/>
                <w:szCs w:val="14"/>
                <w:b w:val="1"/>
                <w:bCs w:val="1"/>
                <w:color w:val="auto"/>
              </w:rPr>
              <w:t>Three Months Ended</w:t>
            </w:r>
          </w:p>
        </w:tc>
        <w:tc>
          <w:tcPr>
            <w:tcW w:w="1900" w:type="dxa"/>
            <w:vAlign w:val="bottom"/>
            <w:tcBorders>
              <w:top w:val="single" w:sz="8" w:color="BFE4FF"/>
              <w:right w:val="single" w:sz="8" w:color="BFE4FF"/>
            </w:tcBorders>
          </w:tcPr>
          <w:p>
            <w:pPr>
              <w:jc w:val="right"/>
              <w:ind w:right="168"/>
              <w:spacing w:after="0"/>
              <w:rPr>
                <w:sz w:val="20"/>
                <w:szCs w:val="20"/>
                <w:color w:val="auto"/>
              </w:rPr>
            </w:pPr>
            <w:r>
              <w:rPr>
                <w:rFonts w:ascii="Arial" w:cs="Arial" w:eastAsia="Arial" w:hAnsi="Arial"/>
                <w:sz w:val="14"/>
                <w:szCs w:val="14"/>
                <w:b w:val="1"/>
                <w:bCs w:val="1"/>
                <w:color w:val="auto"/>
              </w:rPr>
              <w:t>Three Months Ended</w:t>
            </w:r>
          </w:p>
        </w:tc>
        <w:tc>
          <w:tcPr>
            <w:tcW w:w="1640" w:type="dxa"/>
            <w:vAlign w:val="bottom"/>
            <w:tcBorders>
              <w:top w:val="single" w:sz="8" w:color="BFE4FF"/>
              <w:right w:val="single" w:sz="8" w:color="BFE4FF"/>
            </w:tcBorders>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6020" w:type="dxa"/>
            <w:vAlign w:val="bottom"/>
            <w:tcBorders>
              <w:left w:val="single" w:sz="8" w:color="BFE4FF"/>
              <w:right w:val="single" w:sz="8" w:color="BFE4FF"/>
            </w:tcBorders>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880" w:type="dxa"/>
            <w:vAlign w:val="bottom"/>
            <w:tcBorders>
              <w:right w:val="single" w:sz="8" w:color="BFE4FF"/>
            </w:tcBorders>
          </w:tcPr>
          <w:p>
            <w:pPr>
              <w:jc w:val="right"/>
              <w:ind w:right="188"/>
              <w:spacing w:after="0"/>
              <w:rPr>
                <w:sz w:val="20"/>
                <w:szCs w:val="20"/>
                <w:color w:val="auto"/>
              </w:rPr>
            </w:pPr>
            <w:r>
              <w:rPr>
                <w:rFonts w:ascii="Arial" w:cs="Arial" w:eastAsia="Arial" w:hAnsi="Arial"/>
                <w:sz w:val="14"/>
                <w:szCs w:val="14"/>
                <w:b w:val="1"/>
                <w:bCs w:val="1"/>
                <w:color w:val="auto"/>
              </w:rPr>
              <w:t>September 30, 2018</w:t>
            </w:r>
          </w:p>
        </w:tc>
        <w:tc>
          <w:tcPr>
            <w:tcW w:w="1900" w:type="dxa"/>
            <w:vAlign w:val="bottom"/>
            <w:tcBorders>
              <w:right w:val="single" w:sz="8" w:color="BFE4FF"/>
            </w:tcBorders>
          </w:tcPr>
          <w:p>
            <w:pPr>
              <w:jc w:val="right"/>
              <w:ind w:right="208"/>
              <w:spacing w:after="0"/>
              <w:rPr>
                <w:sz w:val="20"/>
                <w:szCs w:val="20"/>
                <w:color w:val="auto"/>
              </w:rPr>
            </w:pPr>
            <w:r>
              <w:rPr>
                <w:rFonts w:ascii="Arial" w:cs="Arial" w:eastAsia="Arial" w:hAnsi="Arial"/>
                <w:sz w:val="14"/>
                <w:szCs w:val="14"/>
                <w:b w:val="1"/>
                <w:bCs w:val="1"/>
                <w:color w:val="auto"/>
              </w:rPr>
              <w:t>September 30, 2017</w:t>
            </w:r>
          </w:p>
        </w:tc>
        <w:tc>
          <w:tcPr>
            <w:tcW w:w="1640" w:type="dxa"/>
            <w:vAlign w:val="bottom"/>
            <w:tcBorders>
              <w:right w:val="single" w:sz="8" w:color="BFE4FF"/>
            </w:tcBorders>
            <w:vMerge w:val="restart"/>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81"/>
        </w:trPr>
        <w:tc>
          <w:tcPr>
            <w:tcW w:w="6020" w:type="dxa"/>
            <w:vAlign w:val="bottom"/>
            <w:tcBorders>
              <w:left w:val="single" w:sz="8" w:color="BFE4FF"/>
              <w:right w:val="single" w:sz="8" w:color="BFE4FF"/>
            </w:tcBorders>
            <w:vMerge w:val="continue"/>
          </w:tcPr>
          <w:p>
            <w:pPr>
              <w:spacing w:after="0"/>
              <w:rPr>
                <w:sz w:val="7"/>
                <w:szCs w:val="7"/>
                <w:color w:val="auto"/>
              </w:rPr>
            </w:pPr>
          </w:p>
        </w:tc>
        <w:tc>
          <w:tcPr>
            <w:tcW w:w="1880" w:type="dxa"/>
            <w:vAlign w:val="bottom"/>
            <w:tcBorders>
              <w:right w:val="single" w:sz="8" w:color="BFE4FF"/>
            </w:tcBorders>
          </w:tcPr>
          <w:p>
            <w:pPr>
              <w:spacing w:after="0"/>
              <w:rPr>
                <w:sz w:val="7"/>
                <w:szCs w:val="7"/>
                <w:color w:val="auto"/>
              </w:rPr>
            </w:pPr>
          </w:p>
        </w:tc>
        <w:tc>
          <w:tcPr>
            <w:tcW w:w="1900" w:type="dxa"/>
            <w:vAlign w:val="bottom"/>
            <w:tcBorders>
              <w:right w:val="single" w:sz="8" w:color="BFE4FF"/>
            </w:tcBorders>
          </w:tcPr>
          <w:p>
            <w:pPr>
              <w:spacing w:after="0"/>
              <w:rPr>
                <w:sz w:val="7"/>
                <w:szCs w:val="7"/>
                <w:color w:val="auto"/>
              </w:rPr>
            </w:pPr>
          </w:p>
        </w:tc>
        <w:tc>
          <w:tcPr>
            <w:tcW w:w="1640" w:type="dxa"/>
            <w:vAlign w:val="bottom"/>
            <w:tcBorders>
              <w:right w:val="single" w:sz="8" w:color="BFE4FF"/>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6020" w:type="dxa"/>
            <w:vAlign w:val="bottom"/>
            <w:tcBorders>
              <w:left w:val="single" w:sz="8" w:color="BFE4FF"/>
              <w:bottom w:val="single" w:sz="8" w:color="CCEEFF"/>
              <w:right w:val="single" w:sz="8" w:color="BFE4FF"/>
            </w:tcBorders>
          </w:tcPr>
          <w:p>
            <w:pPr>
              <w:spacing w:after="0"/>
              <w:rPr>
                <w:sz w:val="9"/>
                <w:szCs w:val="9"/>
                <w:color w:val="auto"/>
              </w:rPr>
            </w:pPr>
          </w:p>
        </w:tc>
        <w:tc>
          <w:tcPr>
            <w:tcW w:w="1880" w:type="dxa"/>
            <w:vAlign w:val="bottom"/>
            <w:tcBorders>
              <w:bottom w:val="single" w:sz="8" w:color="CCEEFF"/>
              <w:right w:val="single" w:sz="8" w:color="BFE4FF"/>
            </w:tcBorders>
          </w:tcPr>
          <w:p>
            <w:pPr>
              <w:spacing w:after="0"/>
              <w:rPr>
                <w:sz w:val="9"/>
                <w:szCs w:val="9"/>
                <w:color w:val="auto"/>
              </w:rPr>
            </w:pPr>
          </w:p>
        </w:tc>
        <w:tc>
          <w:tcPr>
            <w:tcW w:w="1900" w:type="dxa"/>
            <w:vAlign w:val="bottom"/>
            <w:tcBorders>
              <w:bottom w:val="single" w:sz="8" w:color="CCEEFF"/>
              <w:right w:val="single" w:sz="8" w:color="BFE4FF"/>
            </w:tcBorders>
          </w:tcPr>
          <w:p>
            <w:pPr>
              <w:spacing w:after="0"/>
              <w:rPr>
                <w:sz w:val="9"/>
                <w:szCs w:val="9"/>
                <w:color w:val="auto"/>
              </w:rPr>
            </w:pPr>
          </w:p>
        </w:tc>
        <w:tc>
          <w:tcPr>
            <w:tcW w:w="1640" w:type="dxa"/>
            <w:vAlign w:val="bottom"/>
            <w:tcBorders>
              <w:bottom w:val="single" w:sz="8" w:color="CCEEFF"/>
              <w:right w:val="single" w:sz="8" w:color="BFE4FF"/>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6020" w:type="dxa"/>
            <w:vAlign w:val="bottom"/>
            <w:tcBorders>
              <w:left w:val="single" w:sz="8" w:color="BFE4FF"/>
              <w:bottom w:val="single" w:sz="8" w:color="BFE4FF"/>
              <w:right w:val="single" w:sz="8" w:color="BFE4FF"/>
            </w:tcBorders>
          </w:tcPr>
          <w:p>
            <w:pPr>
              <w:ind w:left="40"/>
              <w:spacing w:after="0"/>
              <w:rPr>
                <w:sz w:val="20"/>
                <w:szCs w:val="20"/>
                <w:color w:val="auto"/>
              </w:rPr>
            </w:pPr>
            <w:r>
              <w:rPr>
                <w:rFonts w:ascii="Arial" w:cs="Arial" w:eastAsia="Arial" w:hAnsi="Arial"/>
                <w:sz w:val="20"/>
                <w:szCs w:val="20"/>
                <w:b w:val="1"/>
                <w:bCs w:val="1"/>
                <w:color w:val="auto"/>
              </w:rPr>
              <w:t>Revenue</w:t>
            </w:r>
          </w:p>
        </w:tc>
        <w:tc>
          <w:tcPr>
            <w:tcW w:w="1880" w:type="dxa"/>
            <w:vAlign w:val="bottom"/>
            <w:tcBorders>
              <w:bottom w:val="single" w:sz="8" w:color="BFE4FF"/>
              <w:right w:val="single" w:sz="8" w:color="BFE4FF"/>
            </w:tcBorders>
          </w:tcPr>
          <w:p>
            <w:pPr>
              <w:jc w:val="right"/>
              <w:ind w:right="268"/>
              <w:spacing w:after="0"/>
              <w:rPr>
                <w:sz w:val="20"/>
                <w:szCs w:val="20"/>
                <w:color w:val="auto"/>
              </w:rPr>
            </w:pPr>
            <w:r>
              <w:rPr>
                <w:rFonts w:ascii="Arial" w:cs="Arial" w:eastAsia="Arial" w:hAnsi="Arial"/>
                <w:sz w:val="20"/>
                <w:szCs w:val="20"/>
                <w:color w:val="auto"/>
              </w:rPr>
              <w:t>$402.2</w:t>
            </w:r>
          </w:p>
        </w:tc>
        <w:tc>
          <w:tcPr>
            <w:tcW w:w="1900" w:type="dxa"/>
            <w:vAlign w:val="bottom"/>
            <w:tcBorders>
              <w:bottom w:val="single" w:sz="8" w:color="BFE4FF"/>
              <w:right w:val="single" w:sz="8" w:color="BFE4FF"/>
            </w:tcBorders>
          </w:tcPr>
          <w:p>
            <w:pPr>
              <w:jc w:val="right"/>
              <w:ind w:right="288"/>
              <w:spacing w:after="0"/>
              <w:rPr>
                <w:sz w:val="20"/>
                <w:szCs w:val="20"/>
                <w:color w:val="auto"/>
              </w:rPr>
            </w:pPr>
            <w:r>
              <w:rPr>
                <w:rFonts w:ascii="Arial" w:cs="Arial" w:eastAsia="Arial" w:hAnsi="Arial"/>
                <w:sz w:val="20"/>
                <w:szCs w:val="20"/>
                <w:color w:val="auto"/>
              </w:rPr>
              <w:t>$353.9</w:t>
            </w:r>
          </w:p>
        </w:tc>
        <w:tc>
          <w:tcPr>
            <w:tcW w:w="1640" w:type="dxa"/>
            <w:vAlign w:val="bottom"/>
            <w:tcBorders>
              <w:bottom w:val="single" w:sz="8" w:color="CCEEFF"/>
              <w:right w:val="single" w:sz="8" w:color="BFE4FF"/>
            </w:tcBorders>
          </w:tcPr>
          <w:p>
            <w:pPr>
              <w:jc w:val="center"/>
              <w:spacing w:after="0"/>
              <w:rPr>
                <w:sz w:val="20"/>
                <w:szCs w:val="20"/>
                <w:color w:val="auto"/>
              </w:rPr>
            </w:pPr>
            <w:r>
              <w:rPr>
                <w:rFonts w:ascii="Arial" w:cs="Arial" w:eastAsia="Arial" w:hAnsi="Arial"/>
                <w:sz w:val="20"/>
                <w:szCs w:val="20"/>
                <w:color w:val="auto"/>
                <w:w w:val="98"/>
              </w:rPr>
              <w:t>13.6%</w:t>
            </w:r>
          </w:p>
        </w:tc>
        <w:tc>
          <w:tcPr>
            <w:tcW w:w="0" w:type="dxa"/>
            <w:vAlign w:val="bottom"/>
          </w:tcPr>
          <w:p>
            <w:pPr>
              <w:spacing w:after="0"/>
              <w:rPr>
                <w:sz w:val="1"/>
                <w:szCs w:val="1"/>
                <w:color w:val="auto"/>
              </w:rPr>
            </w:pPr>
          </w:p>
        </w:tc>
      </w:tr>
      <w:tr>
        <w:trPr>
          <w:trHeight w:val="264"/>
        </w:trPr>
        <w:tc>
          <w:tcPr>
            <w:tcW w:w="6020" w:type="dxa"/>
            <w:vAlign w:val="bottom"/>
            <w:tcBorders>
              <w:left w:val="single" w:sz="8" w:color="BFE4FF"/>
              <w:bottom w:val="single" w:sz="8" w:color="BFE4FF"/>
              <w:right w:val="single" w:sz="8" w:color="BFE4FF"/>
            </w:tcBorders>
          </w:tcPr>
          <w:p>
            <w:pPr>
              <w:ind w:left="40"/>
              <w:spacing w:after="0"/>
              <w:rPr>
                <w:sz w:val="20"/>
                <w:szCs w:val="20"/>
                <w:color w:val="auto"/>
              </w:rPr>
            </w:pPr>
            <w:r>
              <w:rPr>
                <w:rFonts w:ascii="Arial" w:cs="Arial" w:eastAsia="Arial" w:hAnsi="Arial"/>
                <w:sz w:val="20"/>
                <w:szCs w:val="20"/>
                <w:b w:val="1"/>
                <w:bCs w:val="1"/>
                <w:color w:val="auto"/>
              </w:rPr>
              <w:t>Operating profit (loss)</w:t>
            </w:r>
          </w:p>
        </w:tc>
        <w:tc>
          <w:tcPr>
            <w:tcW w:w="1880" w:type="dxa"/>
            <w:vAlign w:val="bottom"/>
            <w:tcBorders>
              <w:bottom w:val="single" w:sz="8" w:color="BFE4FF"/>
              <w:right w:val="single" w:sz="8" w:color="BFE4FF"/>
            </w:tcBorders>
          </w:tcPr>
          <w:p>
            <w:pPr>
              <w:jc w:val="right"/>
              <w:ind w:right="268"/>
              <w:spacing w:after="0"/>
              <w:rPr>
                <w:sz w:val="20"/>
                <w:szCs w:val="20"/>
                <w:color w:val="auto"/>
              </w:rPr>
            </w:pPr>
            <w:r>
              <w:rPr>
                <w:rFonts w:ascii="Arial" w:cs="Arial" w:eastAsia="Arial" w:hAnsi="Arial"/>
                <w:sz w:val="20"/>
                <w:szCs w:val="20"/>
                <w:color w:val="auto"/>
              </w:rPr>
              <w:t>$51.9</w:t>
            </w:r>
          </w:p>
        </w:tc>
        <w:tc>
          <w:tcPr>
            <w:tcW w:w="1900" w:type="dxa"/>
            <w:vAlign w:val="bottom"/>
            <w:tcBorders>
              <w:bottom w:val="single" w:sz="8" w:color="BFE4FF"/>
              <w:right w:val="single" w:sz="8" w:color="BFE4FF"/>
            </w:tcBorders>
          </w:tcPr>
          <w:p>
            <w:pPr>
              <w:jc w:val="right"/>
              <w:ind w:right="288"/>
              <w:spacing w:after="0"/>
              <w:rPr>
                <w:sz w:val="20"/>
                <w:szCs w:val="20"/>
                <w:color w:val="auto"/>
              </w:rPr>
            </w:pPr>
            <w:r>
              <w:rPr>
                <w:rFonts w:ascii="Arial" w:cs="Arial" w:eastAsia="Arial" w:hAnsi="Arial"/>
                <w:sz w:val="20"/>
                <w:szCs w:val="20"/>
                <w:color w:val="auto"/>
              </w:rPr>
              <w:t>$49.0</w:t>
            </w:r>
          </w:p>
        </w:tc>
        <w:tc>
          <w:tcPr>
            <w:tcW w:w="1640" w:type="dxa"/>
            <w:vAlign w:val="bottom"/>
            <w:tcBorders>
              <w:bottom w:val="single" w:sz="8" w:color="BFE4FF"/>
              <w:right w:val="single" w:sz="8" w:color="BFE4FF"/>
            </w:tcBorders>
          </w:tcPr>
          <w:p>
            <w:pPr>
              <w:jc w:val="center"/>
              <w:spacing w:after="0"/>
              <w:rPr>
                <w:sz w:val="20"/>
                <w:szCs w:val="20"/>
                <w:color w:val="auto"/>
              </w:rPr>
            </w:pPr>
            <w:r>
              <w:rPr>
                <w:rFonts w:ascii="Arial" w:cs="Arial" w:eastAsia="Arial" w:hAnsi="Arial"/>
                <w:sz w:val="20"/>
                <w:szCs w:val="20"/>
                <w:color w:val="auto"/>
                <w:w w:val="96"/>
              </w:rPr>
              <w:t>5.9%</w:t>
            </w:r>
          </w:p>
        </w:tc>
        <w:tc>
          <w:tcPr>
            <w:tcW w:w="0" w:type="dxa"/>
            <w:vAlign w:val="bottom"/>
          </w:tcPr>
          <w:p>
            <w:pPr>
              <w:spacing w:after="0"/>
              <w:rPr>
                <w:sz w:val="1"/>
                <w:szCs w:val="1"/>
                <w:color w:val="auto"/>
              </w:rPr>
            </w:pPr>
          </w:p>
        </w:tc>
      </w:tr>
      <w:tr>
        <w:trPr>
          <w:trHeight w:val="264"/>
        </w:trPr>
        <w:tc>
          <w:tcPr>
            <w:tcW w:w="6020" w:type="dxa"/>
            <w:vAlign w:val="bottom"/>
            <w:tcBorders>
              <w:left w:val="single" w:sz="8" w:color="BFE4FF"/>
              <w:bottom w:val="single" w:sz="8" w:color="BFE4FF"/>
              <w:right w:val="single" w:sz="8" w:color="BFE4FF"/>
            </w:tcBorders>
          </w:tcPr>
          <w:p>
            <w:pPr>
              <w:ind w:left="40"/>
              <w:spacing w:after="0"/>
              <w:rPr>
                <w:sz w:val="20"/>
                <w:szCs w:val="20"/>
                <w:color w:val="auto"/>
              </w:rPr>
            </w:pPr>
            <w:r>
              <w:rPr>
                <w:rFonts w:ascii="Arial" w:cs="Arial" w:eastAsia="Arial" w:hAnsi="Arial"/>
                <w:sz w:val="20"/>
                <w:szCs w:val="20"/>
                <w:b w:val="1"/>
                <w:bCs w:val="1"/>
                <w:color w:val="auto"/>
              </w:rPr>
              <w:t>Adjusted EBITDA</w:t>
            </w:r>
          </w:p>
        </w:tc>
        <w:tc>
          <w:tcPr>
            <w:tcW w:w="1880" w:type="dxa"/>
            <w:vAlign w:val="bottom"/>
            <w:tcBorders>
              <w:bottom w:val="single" w:sz="8" w:color="BFE4FF"/>
              <w:right w:val="single" w:sz="8" w:color="BFE4FF"/>
            </w:tcBorders>
          </w:tcPr>
          <w:p>
            <w:pPr>
              <w:jc w:val="right"/>
              <w:ind w:right="268"/>
              <w:spacing w:after="0"/>
              <w:rPr>
                <w:sz w:val="20"/>
                <w:szCs w:val="20"/>
                <w:color w:val="auto"/>
              </w:rPr>
            </w:pPr>
            <w:r>
              <w:rPr>
                <w:rFonts w:ascii="Arial" w:cs="Arial" w:eastAsia="Arial" w:hAnsi="Arial"/>
                <w:sz w:val="20"/>
                <w:szCs w:val="20"/>
                <w:color w:val="auto"/>
              </w:rPr>
              <w:t>$72.5</w:t>
            </w:r>
          </w:p>
        </w:tc>
        <w:tc>
          <w:tcPr>
            <w:tcW w:w="1900" w:type="dxa"/>
            <w:vAlign w:val="bottom"/>
            <w:tcBorders>
              <w:bottom w:val="single" w:sz="8" w:color="BFE4FF"/>
              <w:right w:val="single" w:sz="8" w:color="BFE4FF"/>
            </w:tcBorders>
          </w:tcPr>
          <w:p>
            <w:pPr>
              <w:jc w:val="right"/>
              <w:ind w:right="288"/>
              <w:spacing w:after="0"/>
              <w:rPr>
                <w:sz w:val="20"/>
                <w:szCs w:val="20"/>
                <w:color w:val="auto"/>
              </w:rPr>
            </w:pPr>
            <w:r>
              <w:rPr>
                <w:rFonts w:ascii="Arial" w:cs="Arial" w:eastAsia="Arial" w:hAnsi="Arial"/>
                <w:sz w:val="20"/>
                <w:szCs w:val="20"/>
                <w:color w:val="auto"/>
              </w:rPr>
              <w:t>$71.2</w:t>
            </w:r>
          </w:p>
        </w:tc>
        <w:tc>
          <w:tcPr>
            <w:tcW w:w="1640" w:type="dxa"/>
            <w:vAlign w:val="bottom"/>
            <w:tcBorders>
              <w:bottom w:val="single" w:sz="8" w:color="BFE4FF"/>
              <w:right w:val="single" w:sz="8" w:color="BFE4FF"/>
            </w:tcBorders>
          </w:tcPr>
          <w:p>
            <w:pPr>
              <w:jc w:val="center"/>
              <w:spacing w:after="0"/>
              <w:rPr>
                <w:sz w:val="20"/>
                <w:szCs w:val="20"/>
                <w:color w:val="auto"/>
              </w:rPr>
            </w:pPr>
            <w:r>
              <w:rPr>
                <w:rFonts w:ascii="Arial" w:cs="Arial" w:eastAsia="Arial" w:hAnsi="Arial"/>
                <w:sz w:val="20"/>
                <w:szCs w:val="20"/>
                <w:color w:val="auto"/>
                <w:w w:val="96"/>
              </w:rPr>
              <w:t>1.8%</w:t>
            </w:r>
          </w:p>
        </w:tc>
        <w:tc>
          <w:tcPr>
            <w:tcW w:w="0" w:type="dxa"/>
            <w:vAlign w:val="bottom"/>
          </w:tcPr>
          <w:p>
            <w:pPr>
              <w:spacing w:after="0"/>
              <w:rPr>
                <w:sz w:val="1"/>
                <w:szCs w:val="1"/>
                <w:color w:val="auto"/>
              </w:rPr>
            </w:pPr>
          </w:p>
        </w:tc>
      </w:tr>
      <w:tr>
        <w:trPr>
          <w:trHeight w:val="264"/>
        </w:trPr>
        <w:tc>
          <w:tcPr>
            <w:tcW w:w="6020" w:type="dxa"/>
            <w:vAlign w:val="bottom"/>
            <w:tcBorders>
              <w:left w:val="single" w:sz="8" w:color="BFE4FF"/>
              <w:bottom w:val="single" w:sz="8" w:color="BFE4FF"/>
              <w:right w:val="single" w:sz="8" w:color="BFE4FF"/>
            </w:tcBorders>
          </w:tcPr>
          <w:p>
            <w:pPr>
              <w:ind w:left="40"/>
              <w:spacing w:after="0"/>
              <w:rPr>
                <w:sz w:val="20"/>
                <w:szCs w:val="20"/>
                <w:color w:val="auto"/>
              </w:rPr>
            </w:pPr>
            <w:r>
              <w:rPr>
                <w:rFonts w:ascii="Arial" w:cs="Arial" w:eastAsia="Arial" w:hAnsi="Arial"/>
                <w:sz w:val="20"/>
                <w:szCs w:val="20"/>
                <w:b w:val="1"/>
                <w:bCs w:val="1"/>
                <w:color w:val="auto"/>
              </w:rPr>
              <w:t>Adjusted EBITDA margin</w:t>
            </w:r>
          </w:p>
        </w:tc>
        <w:tc>
          <w:tcPr>
            <w:tcW w:w="1880" w:type="dxa"/>
            <w:vAlign w:val="bottom"/>
            <w:tcBorders>
              <w:bottom w:val="single" w:sz="8" w:color="BFE4FF"/>
              <w:right w:val="single" w:sz="8" w:color="BFE4FF"/>
            </w:tcBorders>
          </w:tcPr>
          <w:p>
            <w:pPr>
              <w:jc w:val="right"/>
              <w:ind w:right="108"/>
              <w:spacing w:after="0"/>
              <w:rPr>
                <w:sz w:val="20"/>
                <w:szCs w:val="20"/>
                <w:color w:val="auto"/>
              </w:rPr>
            </w:pPr>
            <w:r>
              <w:rPr>
                <w:rFonts w:ascii="Arial" w:cs="Arial" w:eastAsia="Arial" w:hAnsi="Arial"/>
                <w:sz w:val="20"/>
                <w:szCs w:val="20"/>
                <w:color w:val="auto"/>
              </w:rPr>
              <w:t>18.0%</w:t>
            </w:r>
          </w:p>
        </w:tc>
        <w:tc>
          <w:tcPr>
            <w:tcW w:w="1900" w:type="dxa"/>
            <w:vAlign w:val="bottom"/>
            <w:tcBorders>
              <w:bottom w:val="single" w:sz="8" w:color="BFE4FF"/>
              <w:right w:val="single" w:sz="8" w:color="BFE4FF"/>
            </w:tcBorders>
          </w:tcPr>
          <w:p>
            <w:pPr>
              <w:jc w:val="right"/>
              <w:ind w:right="108"/>
              <w:spacing w:after="0"/>
              <w:rPr>
                <w:sz w:val="20"/>
                <w:szCs w:val="20"/>
                <w:color w:val="auto"/>
              </w:rPr>
            </w:pPr>
            <w:r>
              <w:rPr>
                <w:rFonts w:ascii="Arial" w:cs="Arial" w:eastAsia="Arial" w:hAnsi="Arial"/>
                <w:sz w:val="20"/>
                <w:szCs w:val="20"/>
                <w:color w:val="auto"/>
              </w:rPr>
              <w:t>20.1%</w:t>
            </w:r>
          </w:p>
        </w:tc>
        <w:tc>
          <w:tcPr>
            <w:tcW w:w="1640" w:type="dxa"/>
            <w:vAlign w:val="bottom"/>
            <w:tcBorders>
              <w:bottom w:val="single" w:sz="8" w:color="BFE4FF"/>
              <w:right w:val="single" w:sz="8" w:color="BFE4FF"/>
            </w:tcBorders>
          </w:tcPr>
          <w:p>
            <w:pPr>
              <w:jc w:val="center"/>
              <w:spacing w:after="0"/>
              <w:rPr>
                <w:sz w:val="20"/>
                <w:szCs w:val="20"/>
                <w:color w:val="auto"/>
              </w:rPr>
            </w:pPr>
            <w:r>
              <w:rPr>
                <w:rFonts w:ascii="Arial" w:cs="Arial" w:eastAsia="Arial" w:hAnsi="Arial"/>
                <w:sz w:val="20"/>
                <w:szCs w:val="20"/>
                <w:color w:val="auto"/>
                <w:w w:val="99"/>
              </w:rPr>
              <w:t>(209) bps</w:t>
            </w:r>
          </w:p>
        </w:tc>
        <w:tc>
          <w:tcPr>
            <w:tcW w:w="0" w:type="dxa"/>
            <w:vAlign w:val="bottom"/>
          </w:tcPr>
          <w:p>
            <w:pPr>
              <w:spacing w:after="0"/>
              <w:rPr>
                <w:sz w:val="1"/>
                <w:szCs w:val="1"/>
                <w:color w:val="auto"/>
              </w:rPr>
            </w:pPr>
          </w:p>
        </w:tc>
      </w:tr>
      <w:tr>
        <w:trPr>
          <w:trHeight w:val="322"/>
        </w:trPr>
        <w:tc>
          <w:tcPr>
            <w:tcW w:w="6020" w:type="dxa"/>
            <w:vAlign w:val="bottom"/>
            <w:tcBorders>
              <w:left w:val="single" w:sz="8" w:color="BFE4FF"/>
              <w:bottom w:val="single" w:sz="8" w:color="BFE4FF"/>
              <w:right w:val="single" w:sz="8" w:color="BFE4FF"/>
            </w:tcBorders>
          </w:tcPr>
          <w:p>
            <w:pPr>
              <w:spacing w:after="0"/>
              <w:rPr>
                <w:sz w:val="24"/>
                <w:szCs w:val="24"/>
                <w:color w:val="auto"/>
              </w:rPr>
            </w:pPr>
          </w:p>
        </w:tc>
        <w:tc>
          <w:tcPr>
            <w:tcW w:w="1880" w:type="dxa"/>
            <w:vAlign w:val="bottom"/>
            <w:tcBorders>
              <w:bottom w:val="single" w:sz="8" w:color="BFE4FF"/>
              <w:right w:val="single" w:sz="8" w:color="BFE4FF"/>
            </w:tcBorders>
          </w:tcPr>
          <w:p>
            <w:pPr>
              <w:spacing w:after="0"/>
              <w:rPr>
                <w:sz w:val="24"/>
                <w:szCs w:val="24"/>
                <w:color w:val="auto"/>
              </w:rPr>
            </w:pPr>
          </w:p>
        </w:tc>
        <w:tc>
          <w:tcPr>
            <w:tcW w:w="1900" w:type="dxa"/>
            <w:vAlign w:val="bottom"/>
            <w:tcBorders>
              <w:bottom w:val="single" w:sz="8" w:color="BFE4FF"/>
              <w:right w:val="single" w:sz="8" w:color="BFE4FF"/>
            </w:tcBorders>
          </w:tcPr>
          <w:p>
            <w:pPr>
              <w:spacing w:after="0"/>
              <w:rPr>
                <w:sz w:val="24"/>
                <w:szCs w:val="24"/>
                <w:color w:val="auto"/>
              </w:rPr>
            </w:pPr>
          </w:p>
        </w:tc>
        <w:tc>
          <w:tcPr>
            <w:tcW w:w="1640" w:type="dxa"/>
            <w:vAlign w:val="bottom"/>
            <w:tcBorders>
              <w:bottom w:val="single" w:sz="8" w:color="BFE4FF"/>
              <w:right w:val="single" w:sz="8" w:color="BFE4FF"/>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6020" w:type="dxa"/>
            <w:vAlign w:val="bottom"/>
            <w:tcBorders>
              <w:left w:val="single" w:sz="8" w:color="BFE4FF"/>
              <w:bottom w:val="single" w:sz="8" w:color="BFE4FF"/>
              <w:right w:val="single" w:sz="8" w:color="BFE4FF"/>
            </w:tcBorders>
          </w:tcPr>
          <w:p>
            <w:pPr>
              <w:ind w:left="40"/>
              <w:spacing w:after="0"/>
              <w:rPr>
                <w:sz w:val="20"/>
                <w:szCs w:val="20"/>
                <w:color w:val="auto"/>
              </w:rPr>
            </w:pPr>
            <w:r>
              <w:rPr>
                <w:rFonts w:ascii="Arial" w:cs="Arial" w:eastAsia="Arial" w:hAnsi="Arial"/>
                <w:sz w:val="20"/>
                <w:szCs w:val="20"/>
                <w:b w:val="1"/>
                <w:bCs w:val="1"/>
                <w:color w:val="auto"/>
              </w:rPr>
              <w:t>Inbound orders</w:t>
            </w:r>
          </w:p>
        </w:tc>
        <w:tc>
          <w:tcPr>
            <w:tcW w:w="1880" w:type="dxa"/>
            <w:vAlign w:val="bottom"/>
            <w:tcBorders>
              <w:bottom w:val="single" w:sz="8" w:color="BFE4FF"/>
              <w:right w:val="single" w:sz="8" w:color="BFE4FF"/>
            </w:tcBorders>
          </w:tcPr>
          <w:p>
            <w:pPr>
              <w:jc w:val="right"/>
              <w:ind w:right="268"/>
              <w:spacing w:after="0"/>
              <w:rPr>
                <w:sz w:val="20"/>
                <w:szCs w:val="20"/>
                <w:color w:val="auto"/>
              </w:rPr>
            </w:pPr>
            <w:r>
              <w:rPr>
                <w:rFonts w:ascii="Arial" w:cs="Arial" w:eastAsia="Arial" w:hAnsi="Arial"/>
                <w:sz w:val="20"/>
                <w:szCs w:val="20"/>
                <w:color w:val="auto"/>
              </w:rPr>
              <w:t>$427.2</w:t>
            </w:r>
          </w:p>
        </w:tc>
        <w:tc>
          <w:tcPr>
            <w:tcW w:w="1900" w:type="dxa"/>
            <w:vAlign w:val="bottom"/>
            <w:tcBorders>
              <w:bottom w:val="single" w:sz="8" w:color="BFE4FF"/>
              <w:right w:val="single" w:sz="8" w:color="BFE4FF"/>
            </w:tcBorders>
          </w:tcPr>
          <w:p>
            <w:pPr>
              <w:jc w:val="right"/>
              <w:ind w:right="288"/>
              <w:spacing w:after="0"/>
              <w:rPr>
                <w:sz w:val="20"/>
                <w:szCs w:val="20"/>
                <w:color w:val="auto"/>
              </w:rPr>
            </w:pPr>
            <w:r>
              <w:rPr>
                <w:rFonts w:ascii="Arial" w:cs="Arial" w:eastAsia="Arial" w:hAnsi="Arial"/>
                <w:sz w:val="20"/>
                <w:szCs w:val="20"/>
                <w:color w:val="auto"/>
              </w:rPr>
              <w:t>$329.1</w:t>
            </w:r>
          </w:p>
        </w:tc>
        <w:tc>
          <w:tcPr>
            <w:tcW w:w="1640" w:type="dxa"/>
            <w:vAlign w:val="bottom"/>
            <w:tcBorders>
              <w:bottom w:val="single" w:sz="8" w:color="BFE4FF"/>
              <w:right w:val="single" w:sz="8" w:color="BFE4FF"/>
            </w:tcBorders>
          </w:tcPr>
          <w:p>
            <w:pPr>
              <w:jc w:val="center"/>
              <w:spacing w:after="0"/>
              <w:rPr>
                <w:sz w:val="20"/>
                <w:szCs w:val="20"/>
                <w:color w:val="auto"/>
              </w:rPr>
            </w:pPr>
            <w:r>
              <w:rPr>
                <w:rFonts w:ascii="Arial" w:cs="Arial" w:eastAsia="Arial" w:hAnsi="Arial"/>
                <w:sz w:val="20"/>
                <w:szCs w:val="20"/>
                <w:color w:val="auto"/>
                <w:w w:val="98"/>
              </w:rPr>
              <w:t>29.8%</w:t>
            </w:r>
          </w:p>
        </w:tc>
        <w:tc>
          <w:tcPr>
            <w:tcW w:w="0" w:type="dxa"/>
            <w:vAlign w:val="bottom"/>
          </w:tcPr>
          <w:p>
            <w:pPr>
              <w:spacing w:after="0"/>
              <w:rPr>
                <w:sz w:val="1"/>
                <w:szCs w:val="1"/>
                <w:color w:val="auto"/>
              </w:rPr>
            </w:pPr>
          </w:p>
        </w:tc>
      </w:tr>
      <w:tr>
        <w:trPr>
          <w:trHeight w:val="264"/>
        </w:trPr>
        <w:tc>
          <w:tcPr>
            <w:tcW w:w="6020" w:type="dxa"/>
            <w:vAlign w:val="bottom"/>
            <w:tcBorders>
              <w:left w:val="single" w:sz="8" w:color="BFE4FF"/>
              <w:bottom w:val="single" w:sz="8" w:color="BFE4FF"/>
              <w:right w:val="single" w:sz="8" w:color="BFE4FF"/>
            </w:tcBorders>
          </w:tcPr>
          <w:p>
            <w:pPr>
              <w:ind w:left="40"/>
              <w:spacing w:after="0"/>
              <w:rPr>
                <w:sz w:val="20"/>
                <w:szCs w:val="20"/>
                <w:color w:val="auto"/>
              </w:rPr>
            </w:pPr>
            <w:r>
              <w:rPr>
                <w:rFonts w:ascii="Arial" w:cs="Arial" w:eastAsia="Arial" w:hAnsi="Arial"/>
                <w:sz w:val="20"/>
                <w:szCs w:val="20"/>
                <w:b w:val="1"/>
                <w:bCs w:val="1"/>
                <w:color w:val="auto"/>
              </w:rPr>
              <w:t>Backlog</w:t>
            </w:r>
          </w:p>
        </w:tc>
        <w:tc>
          <w:tcPr>
            <w:tcW w:w="1880" w:type="dxa"/>
            <w:vAlign w:val="bottom"/>
            <w:tcBorders>
              <w:bottom w:val="single" w:sz="8" w:color="BFE4FF"/>
              <w:right w:val="single" w:sz="8" w:color="BFE4FF"/>
            </w:tcBorders>
          </w:tcPr>
          <w:p>
            <w:pPr>
              <w:jc w:val="right"/>
              <w:ind w:right="268"/>
              <w:spacing w:after="0"/>
              <w:rPr>
                <w:sz w:val="20"/>
                <w:szCs w:val="20"/>
                <w:color w:val="auto"/>
              </w:rPr>
            </w:pPr>
            <w:r>
              <w:rPr>
                <w:rFonts w:ascii="Arial" w:cs="Arial" w:eastAsia="Arial" w:hAnsi="Arial"/>
                <w:sz w:val="20"/>
                <w:szCs w:val="20"/>
                <w:color w:val="auto"/>
              </w:rPr>
              <w:t>$455.8</w:t>
            </w:r>
          </w:p>
        </w:tc>
        <w:tc>
          <w:tcPr>
            <w:tcW w:w="1900" w:type="dxa"/>
            <w:vAlign w:val="bottom"/>
            <w:tcBorders>
              <w:bottom w:val="single" w:sz="8" w:color="BFE4FF"/>
              <w:right w:val="single" w:sz="8" w:color="BFE4FF"/>
            </w:tcBorders>
          </w:tcPr>
          <w:p>
            <w:pPr>
              <w:jc w:val="right"/>
              <w:ind w:right="288"/>
              <w:spacing w:after="0"/>
              <w:rPr>
                <w:sz w:val="20"/>
                <w:szCs w:val="20"/>
                <w:color w:val="auto"/>
              </w:rPr>
            </w:pPr>
            <w:r>
              <w:rPr>
                <w:rFonts w:ascii="Arial" w:cs="Arial" w:eastAsia="Arial" w:hAnsi="Arial"/>
                <w:sz w:val="20"/>
                <w:szCs w:val="20"/>
                <w:color w:val="auto"/>
              </w:rPr>
              <w:t>$394.2</w:t>
            </w:r>
          </w:p>
        </w:tc>
        <w:tc>
          <w:tcPr>
            <w:tcW w:w="1640" w:type="dxa"/>
            <w:vAlign w:val="bottom"/>
            <w:tcBorders>
              <w:bottom w:val="single" w:sz="8" w:color="BFE4FF"/>
              <w:right w:val="single" w:sz="8" w:color="BFE4FF"/>
            </w:tcBorders>
          </w:tcPr>
          <w:p>
            <w:pPr>
              <w:jc w:val="center"/>
              <w:spacing w:after="0"/>
              <w:rPr>
                <w:sz w:val="20"/>
                <w:szCs w:val="20"/>
                <w:color w:val="auto"/>
              </w:rPr>
            </w:pPr>
            <w:r>
              <w:rPr>
                <w:rFonts w:ascii="Arial" w:cs="Arial" w:eastAsia="Arial" w:hAnsi="Arial"/>
                <w:sz w:val="20"/>
                <w:szCs w:val="20"/>
                <w:color w:val="auto"/>
                <w:w w:val="98"/>
              </w:rPr>
              <w:t>15.6%</w:t>
            </w:r>
          </w:p>
        </w:tc>
        <w:tc>
          <w:tcPr>
            <w:tcW w:w="0" w:type="dxa"/>
            <w:vAlign w:val="bottom"/>
          </w:tcPr>
          <w:p>
            <w:pPr>
              <w:spacing w:after="0"/>
              <w:rPr>
                <w:sz w:val="1"/>
                <w:szCs w:val="1"/>
                <w:color w:val="auto"/>
              </w:rPr>
            </w:pPr>
          </w:p>
        </w:tc>
      </w:tr>
    </w:tbl>
    <w:p>
      <w:pPr>
        <w:spacing w:after="0" w:line="158" w:lineRule="exact"/>
        <w:rPr>
          <w:sz w:val="20"/>
          <w:szCs w:val="20"/>
          <w:color w:val="auto"/>
        </w:rPr>
      </w:pPr>
    </w:p>
    <w:p>
      <w:pPr>
        <w:jc w:val="both"/>
        <w:ind w:right="20"/>
        <w:spacing w:after="0" w:line="243" w:lineRule="auto"/>
        <w:rPr>
          <w:sz w:val="20"/>
          <w:szCs w:val="20"/>
          <w:color w:val="auto"/>
        </w:rPr>
      </w:pPr>
      <w:r>
        <w:rPr>
          <w:rFonts w:ascii="Arial" w:cs="Arial" w:eastAsia="Arial" w:hAnsi="Arial"/>
          <w:sz w:val="20"/>
          <w:szCs w:val="20"/>
          <w:color w:val="auto"/>
        </w:rPr>
        <w:t>Surface Technologies reported third quarter revenue of $402.2 million. Revenue increased 13.6 percent from the prior-year quarter, driven primarily by higher activity in North America; growth in wellhead product sales and measurement systems was partially offset by reduced hydraulic fracturing flowline sales.</w:t>
      </w:r>
    </w:p>
    <w:p>
      <w:pPr>
        <w:spacing w:after="0" w:line="152" w:lineRule="exact"/>
        <w:rPr>
          <w:sz w:val="20"/>
          <w:szCs w:val="20"/>
          <w:color w:val="auto"/>
        </w:rPr>
      </w:pPr>
    </w:p>
    <w:p>
      <w:pPr>
        <w:jc w:val="both"/>
        <w:ind w:right="20"/>
        <w:spacing w:after="0" w:line="242" w:lineRule="auto"/>
        <w:rPr>
          <w:sz w:val="20"/>
          <w:szCs w:val="20"/>
          <w:color w:val="auto"/>
        </w:rPr>
      </w:pPr>
      <w:r>
        <w:rPr>
          <w:rFonts w:ascii="Arial" w:cs="Arial" w:eastAsia="Arial" w:hAnsi="Arial"/>
          <w:sz w:val="20"/>
          <w:szCs w:val="20"/>
          <w:color w:val="auto"/>
        </w:rPr>
        <w:t>Surface Technologies reported operating profit of $51.9 million; adjusted EBITDA was $72.5 million. Operating profit increased versus the prior-year quarter as product mix outside the Americas more than offset the impact of reduced flowline sales in North America. These same factors drove a year-over-year increase in adjusted EBITDA. Adjusted EBITDA margin of 18 percent decreased 209 basis points from the prior-year results.</w:t>
      </w:r>
    </w:p>
    <w:p>
      <w:pPr>
        <w:spacing w:after="0" w:line="140"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Inbound orders for the quarter of $427.2 million increased by 29.8 percent over the prior year. Backlog was $455.8 million. Given the short-cycle nature of the business, most orders are quickly converted into sales revenue; longer contracts are typically converted within twelve months.</w:t>
      </w:r>
    </w:p>
    <w:p>
      <w:pPr>
        <w:sectPr>
          <w:pgSz w:w="11900" w:h="16838" w:orient="portrait"/>
          <w:cols w:equalWidth="0" w:num="1">
            <w:col w:w="11440"/>
          </w:cols>
          <w:pgMar w:left="240" w:top="517" w:right="219" w:bottom="1440" w:gutter="0" w:footer="0" w:header="0"/>
        </w:sectPr>
      </w:pPr>
    </w:p>
    <w:bookmarkStart w:id="11" w:name="page12"/>
    <w:bookmarkEnd w:id="11"/>
    <w:p>
      <w:pPr>
        <w:spacing w:after="0"/>
        <w:rPr>
          <w:sz w:val="20"/>
          <w:szCs w:val="20"/>
          <w:color w:val="auto"/>
        </w:rPr>
      </w:pPr>
      <w:r>
        <w:rPr>
          <w:rFonts w:ascii="Arial" w:cs="Arial" w:eastAsia="Arial" w:hAnsi="Arial"/>
          <w:sz w:val="20"/>
          <w:szCs w:val="20"/>
          <w:b w:val="1"/>
          <w:bCs w:val="1"/>
          <w:color w:val="auto"/>
        </w:rPr>
        <w:t>Corporate and Other Items</w:t>
      </w:r>
    </w:p>
    <w:p>
      <w:pPr>
        <w:spacing w:after="0" w:line="18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Corporate expense in the third quarter was $68.1 million. Excluding charges and credits of $9.7 million associated with the merger as well as restructuring and other severance charges, corporate expense was $58.4 million; this included $34.4 million of foreign exchange losses.</w:t>
      </w:r>
    </w:p>
    <w:p>
      <w:pPr>
        <w:spacing w:after="0" w:line="152"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Net interest expense was $106 million in the quarter, which included an increase in the liability payable to joint venture partners of $93.2 million.</w:t>
      </w:r>
    </w:p>
    <w:p>
      <w:pPr>
        <w:spacing w:after="0" w:line="148"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The Company recorded a tax provision during the quarter of $66.7 million. Excluding the impact of discrete items, the effective tax rate was 32.2 percent.</w:t>
      </w:r>
    </w:p>
    <w:p>
      <w:pPr>
        <w:spacing w:after="0" w:line="148"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Total depreciation and amortization for the quarter was $142 million, including depreciation and amortization related to purchase price accounting for the merger of $23.3 million</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Capital expenditures were $120.4 million during the quarter.</w:t>
      </w:r>
    </w:p>
    <w:p>
      <w:pPr>
        <w:spacing w:after="0" w:line="162" w:lineRule="exact"/>
        <w:rPr>
          <w:sz w:val="20"/>
          <w:szCs w:val="20"/>
          <w:color w:val="auto"/>
        </w:rPr>
      </w:pPr>
    </w:p>
    <w:p>
      <w:pPr>
        <w:jc w:val="both"/>
        <w:spacing w:after="0" w:line="262" w:lineRule="auto"/>
        <w:rPr>
          <w:sz w:val="20"/>
          <w:szCs w:val="20"/>
          <w:color w:val="auto"/>
        </w:rPr>
      </w:pPr>
      <w:r>
        <w:rPr>
          <w:rFonts w:ascii="Arial" w:cs="Arial" w:eastAsia="Arial" w:hAnsi="Arial"/>
          <w:sz w:val="19"/>
          <w:szCs w:val="19"/>
          <w:color w:val="auto"/>
        </w:rPr>
        <w:t>The Company repurchased 4.6 million shares during the quarter for total consideration of $ 142.2 million. Since inception of the repurchase program in October 2017, the Company has repurchased 14.4 million shares for total consideration of $ 442.7 million. The Company remains committed to completing the full authorization of $500 million in ordinary shares by the end of 2018.</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color w:val="auto"/>
        </w:rPr>
        <w:t>The Company ended the quarter with cash and cash equivalents of $5.6 billion; net cash was $1.5 billion.</w:t>
      </w:r>
    </w:p>
    <w:p>
      <w:pPr>
        <w:sectPr>
          <w:pgSz w:w="11900" w:h="16838" w:orient="portrait"/>
          <w:cols w:equalWidth="0" w:num="1">
            <w:col w:w="11420"/>
          </w:cols>
          <w:pgMar w:left="240" w:top="747" w:right="239" w:bottom="1440" w:gutter="0" w:footer="0" w:header="0"/>
        </w:sectPr>
      </w:pPr>
    </w:p>
    <w:bookmarkStart w:id="12" w:name="page13"/>
    <w:bookmarkEnd w:id="12"/>
    <w:p>
      <w:pPr>
        <w:spacing w:after="0"/>
        <w:rPr>
          <w:sz w:val="20"/>
          <w:szCs w:val="20"/>
          <w:color w:val="auto"/>
        </w:rPr>
      </w:pPr>
      <w:r>
        <w:rPr>
          <w:rFonts w:ascii="Arial" w:cs="Arial" w:eastAsia="Arial" w:hAnsi="Arial"/>
          <w:sz w:val="20"/>
          <w:szCs w:val="20"/>
          <w:b w:val="1"/>
          <w:bCs w:val="1"/>
          <w:color w:val="auto"/>
        </w:rPr>
        <w:t>2018 Guidance</w:t>
      </w:r>
      <w:r>
        <w:rPr>
          <w:rFonts w:ascii="Arial" w:cs="Arial" w:eastAsia="Arial" w:hAnsi="Arial"/>
          <w:sz w:val="25"/>
          <w:szCs w:val="25"/>
          <w:b w:val="1"/>
          <w:bCs w:val="1"/>
          <w:color w:val="auto"/>
          <w:vertAlign w:val="superscript"/>
        </w:rPr>
        <w:t>1</w:t>
      </w:r>
    </w:p>
    <w:p>
      <w:pPr>
        <w:spacing w:after="0" w:line="128" w:lineRule="exact"/>
        <w:rPr>
          <w:sz w:val="20"/>
          <w:szCs w:val="20"/>
          <w:color w:val="auto"/>
        </w:rPr>
      </w:pPr>
    </w:p>
    <w:p>
      <w:pPr>
        <w:spacing w:after="0"/>
        <w:rPr>
          <w:sz w:val="20"/>
          <w:szCs w:val="20"/>
          <w:color w:val="auto"/>
        </w:rPr>
      </w:pPr>
      <w:r>
        <w:rPr>
          <w:rFonts w:ascii="Arial" w:cs="Arial" w:eastAsia="Arial" w:hAnsi="Arial"/>
          <w:sz w:val="19"/>
          <w:szCs w:val="19"/>
          <w:color w:val="auto"/>
        </w:rPr>
        <w:t>Updates to the Company’s full-year guidance for 2018 are included in the revised table below and detailed on the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240665</wp:posOffset>
            </wp:positionV>
            <wp:extent cx="7246620" cy="188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 xml:space="preserve">2018 Guidance </w:t>
      </w:r>
      <w:r>
        <w:rPr>
          <w:rFonts w:ascii="Arial" w:cs="Arial" w:eastAsia="Arial" w:hAnsi="Arial"/>
          <w:sz w:val="20"/>
          <w:szCs w:val="20"/>
          <w:i w:val="1"/>
          <w:iCs w:val="1"/>
          <w:color w:val="auto"/>
        </w:rPr>
        <w:t>*</w:t>
      </w:r>
      <w:r>
        <w:rPr>
          <w:rFonts w:ascii="Arial" w:cs="Arial" w:eastAsia="Arial" w:hAnsi="Arial"/>
          <w:sz w:val="14"/>
          <w:szCs w:val="14"/>
          <w:i w:val="1"/>
          <w:iCs w:val="1"/>
          <w:color w:val="auto"/>
        </w:rPr>
        <w:t>Updated October 24,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240030</wp:posOffset>
            </wp:positionV>
            <wp:extent cx="7246620" cy="11747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17475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p>
      <w:pPr>
        <w:spacing w:after="0" w:line="391" w:lineRule="exact"/>
        <w:rPr>
          <w:sz w:val="20"/>
          <w:szCs w:val="20"/>
          <w:color w:val="auto"/>
        </w:rPr>
      </w:pPr>
    </w:p>
    <w:p>
      <w:pPr>
        <w:ind w:left="1500"/>
        <w:spacing w:after="0"/>
        <w:rPr>
          <w:sz w:val="20"/>
          <w:szCs w:val="20"/>
          <w:color w:val="auto"/>
        </w:rPr>
      </w:pPr>
      <w:r>
        <w:rPr>
          <w:rFonts w:ascii="Arial" w:cs="Arial" w:eastAsia="Arial" w:hAnsi="Arial"/>
          <w:sz w:val="20"/>
          <w:szCs w:val="20"/>
          <w:b w:val="1"/>
          <w:bCs w:val="1"/>
          <w:color w:val="FFFFFF"/>
        </w:rPr>
        <w:t>Subsea</w:t>
      </w:r>
    </w:p>
    <w:p>
      <w:pPr>
        <w:spacing w:after="0" w:line="78" w:lineRule="exact"/>
        <w:rPr>
          <w:sz w:val="20"/>
          <w:szCs w:val="20"/>
          <w:color w:val="auto"/>
        </w:rPr>
      </w:pPr>
    </w:p>
    <w:p>
      <w:pPr>
        <w:ind w:left="60"/>
        <w:spacing w:after="0"/>
        <w:rPr>
          <w:sz w:val="20"/>
          <w:szCs w:val="20"/>
          <w:color w:val="auto"/>
        </w:rPr>
      </w:pPr>
      <w:r>
        <w:rPr>
          <w:rFonts w:ascii="Arial" w:cs="Arial" w:eastAsia="Arial" w:hAnsi="Arial"/>
          <w:sz w:val="20"/>
          <w:szCs w:val="20"/>
          <w:color w:val="auto"/>
        </w:rPr>
        <w:t>Revenue in a range of $5.0 - 5.3 billion</w:t>
      </w:r>
    </w:p>
    <w:p>
      <w:pPr>
        <w:spacing w:after="0" w:line="175" w:lineRule="exact"/>
        <w:rPr>
          <w:sz w:val="20"/>
          <w:szCs w:val="20"/>
          <w:color w:val="auto"/>
        </w:rPr>
      </w:pPr>
    </w:p>
    <w:p>
      <w:pPr>
        <w:jc w:val="both"/>
        <w:ind w:left="60"/>
        <w:spacing w:after="0" w:line="231" w:lineRule="auto"/>
        <w:rPr>
          <w:sz w:val="20"/>
          <w:szCs w:val="20"/>
          <w:color w:val="auto"/>
        </w:rPr>
      </w:pPr>
      <w:r>
        <w:rPr>
          <w:rFonts w:ascii="Arial" w:cs="Arial" w:eastAsia="Arial" w:hAnsi="Arial"/>
          <w:sz w:val="20"/>
          <w:szCs w:val="20"/>
          <w:color w:val="auto"/>
        </w:rPr>
        <w:t>EBITDA margin at least 14% (excluding amortization related impact of purchase price accounting, and other charges and credits)</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jc w:val="center"/>
        <w:ind w:left="-39"/>
        <w:spacing w:after="0"/>
        <w:rPr>
          <w:sz w:val="20"/>
          <w:szCs w:val="20"/>
          <w:color w:val="auto"/>
        </w:rPr>
      </w:pPr>
      <w:r>
        <w:rPr>
          <w:rFonts w:ascii="Arial" w:cs="Arial" w:eastAsia="Arial" w:hAnsi="Arial"/>
          <w:sz w:val="20"/>
          <w:szCs w:val="20"/>
          <w:b w:val="1"/>
          <w:bCs w:val="1"/>
          <w:color w:val="FFFFFF"/>
        </w:rPr>
        <w:t>Onshore/Offshore</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color w:val="auto"/>
        </w:rPr>
        <w:t>Revenue in a range of $5.8 - 6.1 billion*</w:t>
      </w:r>
    </w:p>
    <w:p>
      <w:pPr>
        <w:spacing w:after="0" w:line="175"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EBITDA margin at least 13%* (excluding amortization related impact of purchase price accounting, and other charges and credits)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-2487295</wp:posOffset>
            </wp:positionH>
            <wp:positionV relativeFrom="paragraph">
              <wp:posOffset>357505</wp:posOffset>
            </wp:positionV>
            <wp:extent cx="7246620" cy="2186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1869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ind w:left="780"/>
        <w:spacing w:after="0"/>
        <w:rPr>
          <w:sz w:val="20"/>
          <w:szCs w:val="20"/>
          <w:color w:val="auto"/>
        </w:rPr>
      </w:pPr>
      <w:r>
        <w:rPr>
          <w:rFonts w:ascii="Arial" w:cs="Arial" w:eastAsia="Arial" w:hAnsi="Arial"/>
          <w:sz w:val="20"/>
          <w:szCs w:val="20"/>
          <w:b w:val="1"/>
          <w:bCs w:val="1"/>
          <w:color w:val="FFFFFF"/>
        </w:rPr>
        <w:t>Surface Technologies</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color w:val="auto"/>
        </w:rPr>
        <w:t>Revenue in a range of $1.5 - 1.6 billion</w:t>
      </w:r>
    </w:p>
    <w:p>
      <w:pPr>
        <w:spacing w:after="0" w:line="175" w:lineRule="exact"/>
        <w:rPr>
          <w:sz w:val="20"/>
          <w:szCs w:val="20"/>
          <w:color w:val="auto"/>
        </w:rPr>
      </w:pPr>
    </w:p>
    <w:p>
      <w:pPr>
        <w:jc w:val="both"/>
        <w:ind w:right="60"/>
        <w:spacing w:after="0" w:line="231" w:lineRule="auto"/>
        <w:rPr>
          <w:sz w:val="20"/>
          <w:szCs w:val="20"/>
          <w:color w:val="auto"/>
        </w:rPr>
      </w:pPr>
      <w:r>
        <w:rPr>
          <w:rFonts w:ascii="Arial" w:cs="Arial" w:eastAsia="Arial" w:hAnsi="Arial"/>
          <w:sz w:val="20"/>
          <w:szCs w:val="20"/>
          <w:color w:val="auto"/>
        </w:rPr>
        <w:t>EBITDA margin at least 16%* (excluding amortization related impact of purchase price accounting, and other charges and credits)</w:t>
      </w:r>
    </w:p>
    <w:p>
      <w:pPr>
        <w:spacing w:after="0" w:line="200" w:lineRule="exact"/>
        <w:rPr>
          <w:sz w:val="20"/>
          <w:szCs w:val="20"/>
          <w:color w:val="auto"/>
        </w:rPr>
      </w:pPr>
    </w:p>
    <w:p>
      <w:pPr>
        <w:sectPr>
          <w:pgSz w:w="11900" w:h="16838" w:orient="portrait"/>
          <w:cols w:equalWidth="0" w:num="3">
            <w:col w:w="3580" w:space="360"/>
            <w:col w:w="3560" w:space="300"/>
            <w:col w:w="3620"/>
          </w:cols>
          <w:pgMar w:left="240" w:top="355" w:right="239" w:bottom="1440" w:gutter="0" w:footer="0" w:header="0"/>
          <w:type w:val="continuous"/>
        </w:sectPr>
      </w:pP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FFFFFF"/>
        </w:rPr>
        <w:t>TechnipFMC</w:t>
      </w:r>
    </w:p>
    <w:p>
      <w:pPr>
        <w:spacing w:after="0" w:line="40"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 xml:space="preserve">Corporate expense, net </w:t>
      </w:r>
      <w:r>
        <w:rPr>
          <w:rFonts w:ascii="Arial" w:cs="Arial" w:eastAsia="Arial" w:hAnsi="Arial"/>
          <w:sz w:val="20"/>
          <w:szCs w:val="20"/>
          <w:color w:val="auto"/>
        </w:rPr>
        <w:t>$40 - 45 million per quarter (excluding the impact of foreign currency fluctuations)</w:t>
      </w:r>
    </w:p>
    <w:p>
      <w:pPr>
        <w:spacing w:after="0" w:line="216" w:lineRule="exact"/>
        <w:rPr>
          <w:sz w:val="20"/>
          <w:szCs w:val="20"/>
          <w:color w:val="auto"/>
        </w:rPr>
      </w:pPr>
    </w:p>
    <w:p>
      <w:pPr>
        <w:ind w:left="60" w:right="40"/>
        <w:spacing w:after="0" w:line="258" w:lineRule="auto"/>
        <w:rPr>
          <w:sz w:val="20"/>
          <w:szCs w:val="20"/>
          <w:color w:val="auto"/>
        </w:rPr>
      </w:pPr>
      <w:r>
        <w:rPr>
          <w:rFonts w:ascii="Arial" w:cs="Arial" w:eastAsia="Arial" w:hAnsi="Arial"/>
          <w:sz w:val="20"/>
          <w:szCs w:val="20"/>
          <w:b w:val="1"/>
          <w:bCs w:val="1"/>
          <w:color w:val="auto"/>
        </w:rPr>
        <w:t xml:space="preserve">Net interest expense* </w:t>
      </w:r>
      <w:r>
        <w:rPr>
          <w:rFonts w:ascii="Arial" w:cs="Arial" w:eastAsia="Arial" w:hAnsi="Arial"/>
          <w:sz w:val="20"/>
          <w:szCs w:val="20"/>
          <w:color w:val="auto"/>
        </w:rPr>
        <w:t>approximately $10 - 12 million per quarter (excluding the impact of revaluation of partners’ redeemable</w:t>
      </w:r>
      <w:r>
        <w:rPr>
          <w:rFonts w:ascii="Arial" w:cs="Arial" w:eastAsia="Arial" w:hAnsi="Arial"/>
          <w:sz w:val="20"/>
          <w:szCs w:val="20"/>
          <w:b w:val="1"/>
          <w:bCs w:val="1"/>
          <w:color w:val="auto"/>
        </w:rPr>
        <w:t xml:space="preserve"> </w:t>
      </w:r>
      <w:r>
        <w:rPr>
          <w:rFonts w:ascii="Arial" w:cs="Arial" w:eastAsia="Arial" w:hAnsi="Arial"/>
          <w:sz w:val="20"/>
          <w:szCs w:val="20"/>
          <w:color w:val="auto"/>
        </w:rPr>
        <w:t>financial liability)</w:t>
      </w:r>
    </w:p>
    <w:p>
      <w:pPr>
        <w:spacing w:after="0" w:line="383"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 xml:space="preserve">Tax rate </w:t>
      </w:r>
      <w:r>
        <w:rPr>
          <w:rFonts w:ascii="Arial" w:cs="Arial" w:eastAsia="Arial" w:hAnsi="Arial"/>
          <w:sz w:val="20"/>
          <w:szCs w:val="20"/>
          <w:color w:val="auto"/>
        </w:rPr>
        <w:t>28 - 32% for the full year (excluding the impact of discrete items)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 xml:space="preserve">Capital expenditures </w:t>
      </w:r>
      <w:r>
        <w:rPr>
          <w:rFonts w:ascii="Arial" w:cs="Arial" w:eastAsia="Arial" w:hAnsi="Arial"/>
          <w:sz w:val="20"/>
          <w:szCs w:val="20"/>
          <w:color w:val="auto"/>
        </w:rPr>
        <w:t>approximately $300 million for the full year</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 xml:space="preserve">Merger integration and restructuring costs </w:t>
      </w:r>
      <w:r>
        <w:rPr>
          <w:rFonts w:ascii="Arial" w:cs="Arial" w:eastAsia="Arial" w:hAnsi="Arial"/>
          <w:sz w:val="20"/>
          <w:szCs w:val="20"/>
          <w:color w:val="auto"/>
        </w:rPr>
        <w:t>approximately $100 million for the full year</w:t>
      </w:r>
    </w:p>
    <w:p>
      <w:pPr>
        <w:spacing w:after="0" w:line="216" w:lineRule="exact"/>
        <w:rPr>
          <w:sz w:val="20"/>
          <w:szCs w:val="20"/>
          <w:color w:val="auto"/>
        </w:rPr>
      </w:pPr>
    </w:p>
    <w:p>
      <w:pPr>
        <w:ind w:left="60" w:right="40"/>
        <w:spacing w:after="0" w:line="258" w:lineRule="auto"/>
        <w:rPr>
          <w:sz w:val="20"/>
          <w:szCs w:val="20"/>
          <w:color w:val="auto"/>
        </w:rPr>
      </w:pPr>
      <w:r>
        <w:rPr>
          <w:rFonts w:ascii="Arial" w:cs="Arial" w:eastAsia="Arial" w:hAnsi="Arial"/>
          <w:sz w:val="20"/>
          <w:szCs w:val="20"/>
          <w:b w:val="1"/>
          <w:bCs w:val="1"/>
          <w:color w:val="auto"/>
        </w:rPr>
        <w:t xml:space="preserve">Cost synergies </w:t>
      </w:r>
      <w:r>
        <w:rPr>
          <w:rFonts w:ascii="Arial" w:cs="Arial" w:eastAsia="Arial" w:hAnsi="Arial"/>
          <w:sz w:val="20"/>
          <w:szCs w:val="20"/>
          <w:color w:val="auto"/>
        </w:rPr>
        <w:t>$450 million annual savings ($200 million exit run-rate 12/31/17, $400 million exit run-rate 12/31/18, $450 million</w:t>
      </w:r>
      <w:r>
        <w:rPr>
          <w:rFonts w:ascii="Arial" w:cs="Arial" w:eastAsia="Arial" w:hAnsi="Arial"/>
          <w:sz w:val="20"/>
          <w:szCs w:val="20"/>
          <w:b w:val="1"/>
          <w:bCs w:val="1"/>
          <w:color w:val="auto"/>
        </w:rPr>
        <w:t xml:space="preserve"> </w:t>
      </w:r>
      <w:r>
        <w:rPr>
          <w:rFonts w:ascii="Arial" w:cs="Arial" w:eastAsia="Arial" w:hAnsi="Arial"/>
          <w:sz w:val="20"/>
          <w:szCs w:val="20"/>
          <w:color w:val="auto"/>
        </w:rPr>
        <w:t>exit run-rate 12/31/19)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363855</wp:posOffset>
            </wp:positionV>
            <wp:extent cx="24701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firstLine="8"/>
        <w:spacing w:after="0" w:line="230" w:lineRule="auto"/>
        <w:tabs>
          <w:tab w:leader="none" w:pos="135" w:val="left"/>
        </w:tabs>
        <w:numPr>
          <w:ilvl w:val="0"/>
          <w:numId w:val="10"/>
        </w:numPr>
        <w:rPr>
          <w:rFonts w:ascii="Arial" w:cs="Arial" w:eastAsia="Arial" w:hAnsi="Arial"/>
          <w:sz w:val="22"/>
          <w:szCs w:val="22"/>
          <w:color w:val="auto"/>
          <w:vertAlign w:val="superscript"/>
        </w:rPr>
      </w:pPr>
      <w:r>
        <w:rPr>
          <w:rFonts w:ascii="Arial" w:cs="Arial" w:eastAsia="Arial" w:hAnsi="Arial"/>
          <w:sz w:val="16"/>
          <w:szCs w:val="16"/>
          <w:color w:val="auto"/>
        </w:rPr>
        <w:t>Our guidance measures adjusted EBITDA margin, corporate expense, net (excluding the impact of foreign currency fluctuations), net interest expense excluding the impact of revaluation of partners’ redeemable financial liability, and tax rate (excluding the impact of discrete items) are non-GAAP financial measures. We are unable to provide a reconciliation to comparable GAAP financial measures on a forward-looking basis without unreasonable effort because of the unpredictability of the individual components of the most directly comparable GAAP financial measure and the variability of items excluded from each such measure. Such information may have a significant, and potentially unpredictable, impact on our future financial results.</w:t>
      </w:r>
    </w:p>
    <w:p>
      <w:pPr>
        <w:sectPr>
          <w:pgSz w:w="11900" w:h="16838" w:orient="portrait"/>
          <w:cols w:equalWidth="0" w:num="1">
            <w:col w:w="11420"/>
          </w:cols>
          <w:pgMar w:left="240" w:top="355" w:right="2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20"/>
          <w:szCs w:val="20"/>
          <w:color w:val="auto"/>
        </w:rPr>
        <w:t>Updates to the Company’s full-year guidance for 2018 are detailed below:</w:t>
      </w:r>
    </w:p>
    <w:p>
      <w:pPr>
        <w:spacing w:after="0" w:line="162"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9"/>
          <w:szCs w:val="19"/>
          <w:color w:val="auto"/>
        </w:rPr>
      </w:pPr>
      <w:r>
        <w:rPr>
          <w:rFonts w:ascii="Arial" w:cs="Arial" w:eastAsia="Arial" w:hAnsi="Arial"/>
          <w:sz w:val="19"/>
          <w:szCs w:val="19"/>
          <w:color w:val="auto"/>
        </w:rPr>
        <w:t>Onshore/Offshore revenue in a range of $5.8 - 6.1 billion, increased from the previous guidance range of $5.6 - 5.9 billion.</w:t>
      </w:r>
    </w:p>
    <w:p>
      <w:pPr>
        <w:spacing w:after="0" w:line="173" w:lineRule="exact"/>
        <w:rPr>
          <w:rFonts w:ascii="Arial" w:cs="Arial" w:eastAsia="Arial" w:hAnsi="Arial"/>
          <w:sz w:val="19"/>
          <w:szCs w:val="19"/>
          <w:color w:val="auto"/>
        </w:rPr>
      </w:pPr>
    </w:p>
    <w:p>
      <w:pPr>
        <w:ind w:left="660" w:hanging="328"/>
        <w:spacing w:after="0" w:line="247" w:lineRule="auto"/>
        <w:tabs>
          <w:tab w:leader="none" w:pos="660" w:val="left"/>
        </w:tabs>
        <w:numPr>
          <w:ilvl w:val="0"/>
          <w:numId w:val="11"/>
        </w:numPr>
        <w:rPr>
          <w:rFonts w:ascii="Arial" w:cs="Arial" w:eastAsia="Arial" w:hAnsi="Arial"/>
          <w:sz w:val="20"/>
          <w:szCs w:val="20"/>
          <w:color w:val="auto"/>
        </w:rPr>
      </w:pPr>
      <w:r>
        <w:rPr>
          <w:rFonts w:ascii="Arial" w:cs="Arial" w:eastAsia="Arial" w:hAnsi="Arial"/>
          <w:sz w:val="20"/>
          <w:szCs w:val="20"/>
          <w:color w:val="auto"/>
        </w:rPr>
        <w:t>Onshore/Offshore EBITDA margin of at least 13% (excluding charges and credits), increased from the previous guidance of at least 12% (excluding charges and credits).</w:t>
      </w:r>
    </w:p>
    <w:p>
      <w:pPr>
        <w:spacing w:after="0" w:line="147" w:lineRule="exact"/>
        <w:rPr>
          <w:rFonts w:ascii="Arial" w:cs="Arial" w:eastAsia="Arial" w:hAnsi="Arial"/>
          <w:sz w:val="20"/>
          <w:szCs w:val="20"/>
          <w:color w:val="auto"/>
        </w:rPr>
      </w:pPr>
    </w:p>
    <w:p>
      <w:pPr>
        <w:ind w:left="660" w:hanging="328"/>
        <w:spacing w:after="0" w:line="247" w:lineRule="auto"/>
        <w:tabs>
          <w:tab w:leader="none" w:pos="660" w:val="left"/>
        </w:tabs>
        <w:numPr>
          <w:ilvl w:val="0"/>
          <w:numId w:val="11"/>
        </w:numPr>
        <w:rPr>
          <w:rFonts w:ascii="Arial" w:cs="Arial" w:eastAsia="Arial" w:hAnsi="Arial"/>
          <w:sz w:val="20"/>
          <w:szCs w:val="20"/>
          <w:color w:val="auto"/>
        </w:rPr>
      </w:pPr>
      <w:r>
        <w:rPr>
          <w:rFonts w:ascii="Arial" w:cs="Arial" w:eastAsia="Arial" w:hAnsi="Arial"/>
          <w:sz w:val="20"/>
          <w:szCs w:val="20"/>
          <w:color w:val="auto"/>
        </w:rPr>
        <w:t>Surface Technologies EBITDA margin of at least 16% (excluding charges and credits), reduced from the previous guidance of at least 17.5% (excluding charges and credits).</w:t>
      </w:r>
    </w:p>
    <w:p>
      <w:pPr>
        <w:spacing w:after="0" w:line="147" w:lineRule="exact"/>
        <w:rPr>
          <w:rFonts w:ascii="Arial" w:cs="Arial" w:eastAsia="Arial" w:hAnsi="Arial"/>
          <w:sz w:val="20"/>
          <w:szCs w:val="20"/>
          <w:color w:val="auto"/>
        </w:rPr>
      </w:pPr>
    </w:p>
    <w:p>
      <w:pPr>
        <w:jc w:val="both"/>
        <w:ind w:left="660" w:hanging="328"/>
        <w:spacing w:after="0" w:line="243" w:lineRule="auto"/>
        <w:tabs>
          <w:tab w:leader="none" w:pos="660" w:val="left"/>
        </w:tabs>
        <w:numPr>
          <w:ilvl w:val="0"/>
          <w:numId w:val="11"/>
        </w:numPr>
        <w:rPr>
          <w:rFonts w:ascii="Arial" w:cs="Arial" w:eastAsia="Arial" w:hAnsi="Arial"/>
          <w:sz w:val="20"/>
          <w:szCs w:val="20"/>
          <w:color w:val="auto"/>
        </w:rPr>
      </w:pPr>
      <w:r>
        <w:rPr>
          <w:rFonts w:ascii="Arial" w:cs="Arial" w:eastAsia="Arial" w:hAnsi="Arial"/>
          <w:sz w:val="20"/>
          <w:szCs w:val="20"/>
          <w:color w:val="auto"/>
        </w:rPr>
        <w:t>Net interest expense of approximately $10 - 12 million per quarter (excluding the impact of revaluation of partners’ redeemable financial liability), reduced from the previous guidance of approximately $20 - 22 million per quarter (excluding the impact of revaluation of partners’ redeemable financial liability).</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2019 Guidance</w:t>
      </w:r>
    </w:p>
    <w:p>
      <w:pPr>
        <w:spacing w:after="0" w:line="18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Company will issue 2019 guidance after the close of the New York Stock Exchange on Wednesday, December 12, 2018. The Company will also host a teleconference on Thursday, December 13, 2018 to discuss the financial guidance. The call will begin at 1 p.m. London time (8 a.m. New York time). Dial-in information will be made available prior to the call.</w:t>
      </w:r>
    </w:p>
    <w:p>
      <w:pPr>
        <w:sectPr>
          <w:pgSz w:w="11900" w:h="16838" w:orient="portrait"/>
          <w:cols w:equalWidth="0" w:num="1">
            <w:col w:w="11420"/>
          </w:cols>
          <w:pgMar w:left="240" w:top="771" w:right="239" w:bottom="1440" w:gutter="0" w:footer="0" w:header="0"/>
        </w:sectPr>
      </w:pPr>
    </w:p>
    <w:bookmarkStart w:id="14" w:name="page15"/>
    <w:bookmarkEnd w:id="14"/>
    <w:p>
      <w:pPr>
        <w:spacing w:after="0"/>
        <w:rPr>
          <w:sz w:val="20"/>
          <w:szCs w:val="20"/>
          <w:color w:val="auto"/>
        </w:rPr>
      </w:pPr>
      <w:r>
        <w:rPr>
          <w:rFonts w:ascii="Arial" w:cs="Arial" w:eastAsia="Arial" w:hAnsi="Arial"/>
          <w:sz w:val="20"/>
          <w:szCs w:val="20"/>
          <w:b w:val="1"/>
          <w:bCs w:val="1"/>
          <w:color w:val="auto"/>
        </w:rPr>
        <w:t>Teleconference</w:t>
      </w:r>
    </w:p>
    <w:p>
      <w:pPr>
        <w:spacing w:after="0" w:line="18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 xml:space="preserve">The Company will host a teleconference on Thursday, October 25, 2018 to discuss the third quarter 2018 financial results. The call will begin at 1 p.m. London time (8 a.m. New York time). Dial-in information and an accompanying presentation can be found at </w:t>
      </w:r>
      <w:r>
        <w:rPr>
          <w:rFonts w:ascii="Arial" w:cs="Arial" w:eastAsia="Arial" w:hAnsi="Arial"/>
          <w:sz w:val="20"/>
          <w:szCs w:val="20"/>
          <w:u w:val="single" w:color="auto"/>
          <w:color w:val="0000FF"/>
        </w:rPr>
        <w:t>www.technipfmc.com</w:t>
      </w:r>
      <w:r>
        <w:rPr>
          <w:rFonts w:ascii="Arial" w:cs="Arial" w:eastAsia="Arial" w:hAnsi="Arial"/>
          <w:sz w:val="20"/>
          <w:szCs w:val="20"/>
          <w:color w:val="000000"/>
        </w:rPr>
        <w:t>.</w:t>
      </w:r>
    </w:p>
    <w:p>
      <w:pPr>
        <w:spacing w:after="0" w:line="152"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Webcast access will also be available on our website prior to the start of the call. An archived audio replay will be available after the event at the same website address. In the event of a disruption of service or technical difficulty during the call, information will be posted on our website.</w:t>
      </w:r>
    </w:p>
    <w:p>
      <w:pPr>
        <w:sectPr>
          <w:pgSz w:w="11900" w:h="16838" w:orient="portrait"/>
          <w:cols w:equalWidth="0" w:num="1">
            <w:col w:w="11420"/>
          </w:cols>
          <w:pgMar w:left="240" w:top="747" w:right="239" w:bottom="1440" w:gutter="0" w:footer="0" w:header="0"/>
        </w:sectPr>
      </w:pPr>
    </w:p>
    <w:bookmarkStart w:id="15" w:name="page16"/>
    <w:bookmarkEnd w:id="15"/>
    <w:p>
      <w:pPr>
        <w:jc w:val="center"/>
        <w:ind w:right="-59"/>
        <w:spacing w:after="0"/>
        <w:rPr>
          <w:sz w:val="20"/>
          <w:szCs w:val="20"/>
          <w:color w:val="auto"/>
        </w:rPr>
      </w:pPr>
      <w:r>
        <w:rPr>
          <w:rFonts w:ascii="Arial" w:cs="Arial" w:eastAsia="Arial" w:hAnsi="Arial"/>
          <w:sz w:val="20"/>
          <w:szCs w:val="20"/>
          <w:b w:val="1"/>
          <w:bCs w:val="1"/>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808080"/>
        </w:rPr>
        <w:t>About TechnipFMC</w:t>
      </w:r>
    </w:p>
    <w:p>
      <w:pPr>
        <w:spacing w:after="0" w:line="166" w:lineRule="exact"/>
        <w:rPr>
          <w:sz w:val="20"/>
          <w:szCs w:val="20"/>
          <w:color w:val="auto"/>
        </w:rPr>
      </w:pPr>
    </w:p>
    <w:p>
      <w:pPr>
        <w:ind w:right="580"/>
        <w:spacing w:after="0" w:line="294" w:lineRule="auto"/>
        <w:rPr>
          <w:sz w:val="20"/>
          <w:szCs w:val="20"/>
          <w:color w:val="auto"/>
        </w:rPr>
      </w:pPr>
      <w:r>
        <w:rPr>
          <w:rFonts w:ascii="Arial" w:cs="Arial" w:eastAsia="Arial" w:hAnsi="Arial"/>
          <w:sz w:val="19"/>
          <w:szCs w:val="19"/>
          <w:i w:val="1"/>
          <w:iCs w:val="1"/>
          <w:color w:val="808080"/>
        </w:rPr>
        <w:t>TechnipFMC is a global leader in subsea, onshore/offshore, and surface projects. With our proprietary technologies and production systems, integrated expertise, and comprehensive solutions, we are transforming our clients’ project economics.</w:t>
      </w:r>
    </w:p>
    <w:p>
      <w:pPr>
        <w:spacing w:after="0" w:line="86" w:lineRule="exact"/>
        <w:rPr>
          <w:sz w:val="20"/>
          <w:szCs w:val="20"/>
          <w:color w:val="auto"/>
        </w:rPr>
      </w:pPr>
    </w:p>
    <w:p>
      <w:pPr>
        <w:spacing w:after="0" w:line="253" w:lineRule="auto"/>
        <w:rPr>
          <w:sz w:val="20"/>
          <w:szCs w:val="20"/>
          <w:color w:val="auto"/>
        </w:rPr>
      </w:pPr>
      <w:r>
        <w:rPr>
          <w:rFonts w:ascii="Arial" w:cs="Arial" w:eastAsia="Arial" w:hAnsi="Arial"/>
          <w:sz w:val="20"/>
          <w:szCs w:val="20"/>
          <w:i w:val="1"/>
          <w:iCs w:val="1"/>
          <w:color w:val="808080"/>
        </w:rPr>
        <w:t>We are uniquely positioned to deliver greater efficiency across project lifecycles from concept to project delivery and beyond. Through innovative technologies and improved efficiencies, our offering unlocks new possibilities for our clients in developing their oil and gas resources.</w:t>
      </w:r>
    </w:p>
    <w:p>
      <w:pPr>
        <w:spacing w:after="0" w:line="124" w:lineRule="exact"/>
        <w:rPr>
          <w:sz w:val="20"/>
          <w:szCs w:val="20"/>
          <w:color w:val="auto"/>
        </w:rPr>
      </w:pPr>
    </w:p>
    <w:p>
      <w:pPr>
        <w:ind w:right="500"/>
        <w:spacing w:after="0" w:line="267" w:lineRule="auto"/>
        <w:rPr>
          <w:sz w:val="20"/>
          <w:szCs w:val="20"/>
          <w:color w:val="auto"/>
        </w:rPr>
      </w:pPr>
      <w:r>
        <w:rPr>
          <w:rFonts w:ascii="Arial" w:cs="Arial" w:eastAsia="Arial" w:hAnsi="Arial"/>
          <w:sz w:val="20"/>
          <w:szCs w:val="20"/>
          <w:i w:val="1"/>
          <w:iCs w:val="1"/>
          <w:color w:val="808080"/>
        </w:rPr>
        <w:t>Each of our more than 37,000 employees is driven by a steady commitment to clients and a culture of purposeful innovation, challenging industry conventions, and rethinking how the best results are achieved.</w:t>
      </w:r>
    </w:p>
    <w:p>
      <w:pPr>
        <w:spacing w:after="0" w:line="110" w:lineRule="exact"/>
        <w:rPr>
          <w:sz w:val="20"/>
          <w:szCs w:val="20"/>
          <w:color w:val="auto"/>
        </w:rPr>
      </w:pPr>
    </w:p>
    <w:p>
      <w:pPr>
        <w:ind w:right="280"/>
        <w:spacing w:after="0" w:line="267" w:lineRule="auto"/>
        <w:rPr>
          <w:sz w:val="20"/>
          <w:szCs w:val="20"/>
          <w:color w:val="auto"/>
        </w:rPr>
      </w:pPr>
      <w:r>
        <w:rPr>
          <w:rFonts w:ascii="Arial" w:cs="Arial" w:eastAsia="Arial" w:hAnsi="Arial"/>
          <w:sz w:val="20"/>
          <w:szCs w:val="20"/>
          <w:i w:val="1"/>
          <w:iCs w:val="1"/>
          <w:color w:val="808080"/>
        </w:rPr>
        <w:t>To learn more about us and how we are enhancing the performance of the world’s energy industry, go to TechnipFMC.com and follow us on Twitter @TechnipFMC.</w:t>
      </w:r>
    </w:p>
    <w:p>
      <w:pPr>
        <w:spacing w:after="0" w:line="11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808080"/>
        </w:rPr>
        <w:t>This communication contains “forward-looking statements” as defined in Section 27A of the United States Securities Act of 1933, as amended, and Section 21E of the United States Securities Exchange Act of 1934, as amended. Words such as “believe,” “expect,” “anticipate,” “plan,” “intend,” “foresee,” “should,” “would,” “could,” “may,” “estimate,” “outlook” and similar expressions are intended to identify forward-looking statements, which are generally not historical in nature. Such forward-looking statements involve significant risks, uncertainties and assumptions that could cause actual results to differ materially from our historical experience and our present expectations or projections, including the following known material factors:</w:t>
      </w:r>
    </w:p>
    <w:p>
      <w:pPr>
        <w:spacing w:after="0" w:line="129" w:lineRule="exact"/>
        <w:rPr>
          <w:sz w:val="20"/>
          <w:szCs w:val="20"/>
          <w:color w:val="auto"/>
        </w:rPr>
      </w:pPr>
    </w:p>
    <w:p>
      <w:pPr>
        <w:ind w:left="660" w:hanging="328"/>
        <w:spacing w:after="0" w:line="26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808080"/>
        </w:rPr>
        <w:t>the remedial measures to address our material weaknesses could be insufficient or additional issues relating to disclosure controls and procedures or internal control over financial reporting could be identified;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808080"/>
        </w:rPr>
        <w:t>unanticipated changes relating to competitive factors in our industry;</w:t>
      </w:r>
    </w:p>
    <w:p>
      <w:pPr>
        <w:spacing w:after="0" w:line="9" w:lineRule="exact"/>
        <w:rPr>
          <w:rFonts w:ascii="Arial" w:cs="Arial" w:eastAsia="Arial" w:hAnsi="Arial"/>
          <w:sz w:val="18"/>
          <w:szCs w:val="18"/>
          <w:color w:val="auto"/>
        </w:rPr>
      </w:pPr>
    </w:p>
    <w:p>
      <w:pPr>
        <w:ind w:left="660" w:right="5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808080"/>
        </w:rPr>
        <w:t>demand for our products and services, which is affected by changes in the price of, and demand for, crude oil and natural gas in domestic and international markets;</w:t>
      </w:r>
    </w:p>
    <w:p>
      <w:pPr>
        <w:ind w:left="660" w:right="28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808080"/>
        </w:rPr>
        <w:t>our ability to develop and implement new technologies and services, as well as our ability to protect and maintain critical intellectual property assets;</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808080"/>
        </w:rPr>
        <w:t>potential liabilities arising out of the installation or use of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808080"/>
        </w:rPr>
        <w:t>cost overruns related to our fixed price contracts or asset construction projects that may affect revenues;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808080"/>
        </w:rPr>
        <w:t>our ability to timely deliver our backlog and its effect on our future sales, profitability, and our relationships with our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808080"/>
        </w:rPr>
        <w:t>our reliance on subcontractors, suppliers and joint venture partners in the performance of our contracts;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808080"/>
        </w:rPr>
        <w:t>our ability to hire and retain key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808080"/>
        </w:rPr>
        <w:t>piracy risks for our maritime employees and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808080"/>
        </w:rPr>
        <w:t>the potential impacts of seasonal and weather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808080"/>
        </w:rPr>
        <w:t>the cumulative loss of major contracts or alliances;</w:t>
      </w:r>
    </w:p>
    <w:p>
      <w:pPr>
        <w:spacing w:after="0" w:line="9" w:lineRule="exact"/>
        <w:rPr>
          <w:rFonts w:ascii="Arial" w:cs="Arial" w:eastAsia="Arial" w:hAnsi="Arial"/>
          <w:sz w:val="18"/>
          <w:szCs w:val="18"/>
          <w:color w:val="auto"/>
        </w:rPr>
      </w:pPr>
    </w:p>
    <w:p>
      <w:pPr>
        <w:ind w:left="660" w:right="60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808080"/>
        </w:rPr>
        <w:t>U.S. and international laws and regulations, including environmental laws and regulations, that may increase our costs, limit the demand for our products and services or restrict our operations;</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808080"/>
        </w:rPr>
        <w:t>disruptions in the political, regulatory, economic and social conditions of the countries in which we conduct business;</w:t>
      </w:r>
    </w:p>
    <w:p>
      <w:pPr>
        <w:spacing w:after="0" w:line="9" w:lineRule="exact"/>
        <w:rPr>
          <w:rFonts w:ascii="Arial" w:cs="Arial" w:eastAsia="Arial" w:hAnsi="Arial"/>
          <w:sz w:val="18"/>
          <w:szCs w:val="18"/>
          <w:color w:val="auto"/>
        </w:rPr>
      </w:pPr>
    </w:p>
    <w:p>
      <w:pPr>
        <w:ind w:left="660" w:right="72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808080"/>
        </w:rPr>
        <w:t>risks associated with The Depository Trust Company and Euroclear for clearance services for shares traded on the NYSE and Euronext Paris, respectively;</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808080"/>
        </w:rPr>
        <w:t>results of the United Kingdom’s referendum on withdrawal from the European Union;</w:t>
      </w:r>
    </w:p>
    <w:p>
      <w:pPr>
        <w:spacing w:after="0" w:line="9" w:lineRule="exact"/>
        <w:rPr>
          <w:rFonts w:ascii="Arial" w:cs="Arial" w:eastAsia="Arial" w:hAnsi="Arial"/>
          <w:sz w:val="18"/>
          <w:szCs w:val="18"/>
          <w:color w:val="auto"/>
        </w:rPr>
      </w:pPr>
    </w:p>
    <w:p>
      <w:pPr>
        <w:ind w:left="660" w:right="600" w:hanging="328"/>
        <w:spacing w:after="0" w:line="26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808080"/>
        </w:rPr>
        <w:t>risks associated with being an English public limited company, including the need for court approval of “distributable profits” and stockholder approval of certain capital structure decisions;</w:t>
      </w:r>
    </w:p>
    <w:p>
      <w:pPr>
        <w:sectPr>
          <w:pgSz w:w="11900" w:h="16838" w:orient="portrait"/>
          <w:cols w:equalWidth="0" w:num="1">
            <w:col w:w="11380"/>
          </w:cols>
          <w:pgMar w:left="240" w:top="355" w:right="279" w:bottom="1440" w:gutter="0" w:footer="0" w:header="0"/>
        </w:sectPr>
      </w:pPr>
    </w:p>
    <w:bookmarkStart w:id="16" w:name="page17"/>
    <w:bookmarkEnd w:id="16"/>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808080"/>
        </w:rPr>
        <w:t>our ability to pay dividends or repurchase shares in accordance with our announced capital allocation plan;</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808080"/>
        </w:rPr>
        <w:t>compliance with covenants under our debt instruments and conditions in the credit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808080"/>
        </w:rPr>
        <w:t>downgrade in the ratings of our debt could restrict our ability to access the debt capital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808080"/>
        </w:rPr>
        <w:t>the outcome of uninsured claims and litigation against us;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808080"/>
        </w:rPr>
        <w:t>the risks of currency exchange rate fluctuations associated with our international operations;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808080"/>
        </w:rPr>
        <w:t>risks that the legacy businesses of FMC Technologies, Inc. and Technip S.A. will not be integrated successfully or that the combined company will not realize estimated cost savings, value of certain tax assets, synergies and growth or that such benefits may take longer to realize than expected;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808080"/>
        </w:rPr>
        <w:t>unanticipated merger-related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808080"/>
        </w:rPr>
        <w:t>failure of our information technology infrastructure or any significant breach of security, including related to cyber attacks;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808080"/>
        </w:rPr>
        <w:t>risks associated with tax liabilities, changes in U.S. federal or international tax laws or interpretations to which they are subject; and</w:t>
      </w:r>
    </w:p>
    <w:p>
      <w:pPr>
        <w:spacing w:after="0" w:line="9" w:lineRule="exact"/>
        <w:rPr>
          <w:rFonts w:ascii="Arial" w:cs="Arial" w:eastAsia="Arial" w:hAnsi="Arial"/>
          <w:sz w:val="18"/>
          <w:szCs w:val="18"/>
          <w:color w:val="auto"/>
        </w:rPr>
      </w:pPr>
    </w:p>
    <w:p>
      <w:pPr>
        <w:ind w:left="660" w:right="120" w:hanging="328"/>
        <w:spacing w:after="0" w:line="26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808080"/>
        </w:rPr>
        <w:t>such other risk factors set forth in our filings with the United States Securities and Exchange Commission and in our filings with the Autorité des marchés financiers or the U.K. Financial Conduct Authority.</w:t>
      </w:r>
    </w:p>
    <w:p>
      <w:pPr>
        <w:spacing w:after="0" w:line="178"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i w:val="1"/>
          <w:iCs w:val="1"/>
          <w:color w:val="808080"/>
        </w:rPr>
        <w:t>We caution you not to place undue reliance on any forward-looking statements, which speak only as of the date hereof. We undertake no obligation to publicly update or revise any of our forward-looking statements after the date they are made, whether as a result of new information, future events or otherwise, except to the extent required by law.</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320" w:type="dxa"/>
            <w:vAlign w:val="bottom"/>
            <w:gridSpan w:val="4"/>
          </w:tcPr>
          <w:p>
            <w:pPr>
              <w:spacing w:after="0"/>
              <w:rPr>
                <w:sz w:val="20"/>
                <w:szCs w:val="20"/>
                <w:color w:val="auto"/>
              </w:rPr>
            </w:pPr>
            <w:r>
              <w:rPr>
                <w:rFonts w:ascii="Arial" w:cs="Arial" w:eastAsia="Arial" w:hAnsi="Arial"/>
                <w:sz w:val="20"/>
                <w:szCs w:val="20"/>
                <w:b w:val="1"/>
                <w:bCs w:val="1"/>
                <w:color w:val="auto"/>
              </w:rPr>
              <w:t>Contacts</w:t>
            </w:r>
          </w:p>
        </w:tc>
        <w:tc>
          <w:tcPr>
            <w:tcW w:w="17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635"/>
        </w:trPr>
        <w:tc>
          <w:tcPr>
            <w:tcW w:w="4320" w:type="dxa"/>
            <w:vAlign w:val="bottom"/>
            <w:gridSpan w:val="4"/>
          </w:tcPr>
          <w:p>
            <w:pPr>
              <w:ind w:left="40"/>
              <w:spacing w:after="0"/>
              <w:rPr>
                <w:sz w:val="20"/>
                <w:szCs w:val="20"/>
                <w:color w:val="auto"/>
              </w:rPr>
            </w:pPr>
            <w:r>
              <w:rPr>
                <w:rFonts w:ascii="Arial" w:cs="Arial" w:eastAsia="Arial" w:hAnsi="Arial"/>
                <w:sz w:val="20"/>
                <w:szCs w:val="20"/>
                <w:b w:val="1"/>
                <w:bCs w:val="1"/>
                <w:color w:val="auto"/>
              </w:rPr>
              <w:t>Investor relations</w:t>
            </w:r>
          </w:p>
        </w:tc>
        <w:tc>
          <w:tcPr>
            <w:tcW w:w="4860" w:type="dxa"/>
            <w:vAlign w:val="bottom"/>
            <w:gridSpan w:val="4"/>
          </w:tcPr>
          <w:p>
            <w:pPr>
              <w:ind w:left="1140"/>
              <w:spacing w:after="0"/>
              <w:rPr>
                <w:sz w:val="20"/>
                <w:szCs w:val="20"/>
                <w:color w:val="auto"/>
              </w:rPr>
            </w:pPr>
            <w:r>
              <w:rPr>
                <w:rFonts w:ascii="Arial" w:cs="Arial" w:eastAsia="Arial" w:hAnsi="Arial"/>
                <w:sz w:val="20"/>
                <w:szCs w:val="20"/>
                <w:b w:val="1"/>
                <w:bCs w:val="1"/>
                <w:color w:val="auto"/>
              </w:rPr>
              <w:t>Media relations</w:t>
            </w:r>
          </w:p>
        </w:tc>
      </w:tr>
      <w:tr>
        <w:trPr>
          <w:trHeight w:val="810"/>
        </w:trPr>
        <w:tc>
          <w:tcPr>
            <w:tcW w:w="4320" w:type="dxa"/>
            <w:vAlign w:val="bottom"/>
            <w:gridSpan w:val="4"/>
          </w:tcPr>
          <w:p>
            <w:pPr>
              <w:ind w:left="40"/>
              <w:spacing w:after="0"/>
              <w:rPr>
                <w:sz w:val="20"/>
                <w:szCs w:val="20"/>
                <w:color w:val="auto"/>
              </w:rPr>
            </w:pPr>
            <w:r>
              <w:rPr>
                <w:rFonts w:ascii="Arial" w:cs="Arial" w:eastAsia="Arial" w:hAnsi="Arial"/>
                <w:sz w:val="20"/>
                <w:szCs w:val="20"/>
                <w:color w:val="auto"/>
              </w:rPr>
              <w:t>Matt Seinsheimer</w:t>
            </w:r>
          </w:p>
        </w:tc>
        <w:tc>
          <w:tcPr>
            <w:tcW w:w="4860" w:type="dxa"/>
            <w:vAlign w:val="bottom"/>
            <w:gridSpan w:val="4"/>
          </w:tcPr>
          <w:p>
            <w:pPr>
              <w:ind w:left="1140"/>
              <w:spacing w:after="0"/>
              <w:rPr>
                <w:sz w:val="20"/>
                <w:szCs w:val="20"/>
                <w:color w:val="auto"/>
              </w:rPr>
            </w:pPr>
            <w:r>
              <w:rPr>
                <w:rFonts w:ascii="Arial" w:cs="Arial" w:eastAsia="Arial" w:hAnsi="Arial"/>
                <w:sz w:val="20"/>
                <w:szCs w:val="20"/>
                <w:color w:val="auto"/>
              </w:rPr>
              <w:t>Christophe Bélorgeot</w:t>
            </w:r>
          </w:p>
        </w:tc>
      </w:tr>
      <w:tr>
        <w:trPr>
          <w:trHeight w:val="378"/>
        </w:trPr>
        <w:tc>
          <w:tcPr>
            <w:tcW w:w="4320" w:type="dxa"/>
            <w:vAlign w:val="bottom"/>
            <w:gridSpan w:val="4"/>
          </w:tcPr>
          <w:p>
            <w:pPr>
              <w:ind w:left="40"/>
              <w:spacing w:after="0"/>
              <w:rPr>
                <w:sz w:val="20"/>
                <w:szCs w:val="20"/>
                <w:color w:val="auto"/>
              </w:rPr>
            </w:pPr>
            <w:r>
              <w:rPr>
                <w:rFonts w:ascii="Arial" w:cs="Arial" w:eastAsia="Arial" w:hAnsi="Arial"/>
                <w:sz w:val="20"/>
                <w:szCs w:val="20"/>
                <w:color w:val="auto"/>
              </w:rPr>
              <w:t>Vice President Investor Relations</w:t>
            </w:r>
          </w:p>
        </w:tc>
        <w:tc>
          <w:tcPr>
            <w:tcW w:w="4860" w:type="dxa"/>
            <w:vAlign w:val="bottom"/>
            <w:gridSpan w:val="4"/>
          </w:tcPr>
          <w:p>
            <w:pPr>
              <w:ind w:left="1140"/>
              <w:spacing w:after="0"/>
              <w:rPr>
                <w:sz w:val="20"/>
                <w:szCs w:val="20"/>
                <w:color w:val="auto"/>
              </w:rPr>
            </w:pPr>
            <w:r>
              <w:rPr>
                <w:rFonts w:ascii="Arial" w:cs="Arial" w:eastAsia="Arial" w:hAnsi="Arial"/>
                <w:sz w:val="20"/>
                <w:szCs w:val="20"/>
                <w:color w:val="auto"/>
                <w:w w:val="97"/>
              </w:rPr>
              <w:t>Vice President Corporate Communications</w:t>
            </w:r>
          </w:p>
        </w:tc>
      </w:tr>
      <w:tr>
        <w:trPr>
          <w:trHeight w:val="378"/>
        </w:trPr>
        <w:tc>
          <w:tcPr>
            <w:tcW w:w="4320" w:type="dxa"/>
            <w:vAlign w:val="bottom"/>
            <w:gridSpan w:val="4"/>
          </w:tcPr>
          <w:p>
            <w:pPr>
              <w:ind w:left="40"/>
              <w:spacing w:after="0"/>
              <w:rPr>
                <w:sz w:val="20"/>
                <w:szCs w:val="20"/>
                <w:color w:val="auto"/>
              </w:rPr>
            </w:pPr>
            <w:r>
              <w:rPr>
                <w:rFonts w:ascii="Arial" w:cs="Arial" w:eastAsia="Arial" w:hAnsi="Arial"/>
                <w:sz w:val="20"/>
                <w:szCs w:val="20"/>
                <w:color w:val="auto"/>
              </w:rPr>
              <w:t>Tel: +1 281 260 3665</w:t>
            </w:r>
          </w:p>
        </w:tc>
        <w:tc>
          <w:tcPr>
            <w:tcW w:w="4860" w:type="dxa"/>
            <w:vAlign w:val="bottom"/>
            <w:gridSpan w:val="4"/>
          </w:tcPr>
          <w:p>
            <w:pPr>
              <w:ind w:left="1140"/>
              <w:spacing w:after="0"/>
              <w:rPr>
                <w:sz w:val="20"/>
                <w:szCs w:val="20"/>
                <w:color w:val="auto"/>
              </w:rPr>
            </w:pPr>
            <w:r>
              <w:rPr>
                <w:rFonts w:ascii="Arial" w:cs="Arial" w:eastAsia="Arial" w:hAnsi="Arial"/>
                <w:sz w:val="20"/>
                <w:szCs w:val="20"/>
                <w:color w:val="auto"/>
              </w:rPr>
              <w:t>Tel: +33 1 47 78 39 92</w:t>
            </w:r>
          </w:p>
        </w:tc>
      </w:tr>
      <w:tr>
        <w:trPr>
          <w:trHeight w:val="334"/>
        </w:trPr>
        <w:tc>
          <w:tcPr>
            <w:tcW w:w="4320" w:type="dxa"/>
            <w:vAlign w:val="bottom"/>
            <w:gridSpan w:val="4"/>
          </w:tcPr>
          <w:p>
            <w:pPr>
              <w:ind w:left="40"/>
              <w:spacing w:after="0"/>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color w:val="0000FF"/>
              </w:rPr>
              <w:t>Matt Seinsheimer</w:t>
            </w:r>
          </w:p>
        </w:tc>
        <w:tc>
          <w:tcPr>
            <w:tcW w:w="4860" w:type="dxa"/>
            <w:vAlign w:val="bottom"/>
            <w:gridSpan w:val="4"/>
          </w:tcPr>
          <w:p>
            <w:pPr>
              <w:ind w:left="1140"/>
              <w:spacing w:after="0"/>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color w:val="0000FF"/>
              </w:rPr>
              <w:t>Christophe Belorgeot</w:t>
            </w:r>
          </w:p>
        </w:tc>
      </w:tr>
      <w:tr>
        <w:trPr>
          <w:trHeight w:val="20"/>
        </w:trPr>
        <w:tc>
          <w:tcPr>
            <w:tcW w:w="64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781"/>
        </w:trPr>
        <w:tc>
          <w:tcPr>
            <w:tcW w:w="4320" w:type="dxa"/>
            <w:vAlign w:val="bottom"/>
            <w:gridSpan w:val="4"/>
          </w:tcPr>
          <w:p>
            <w:pPr>
              <w:ind w:left="40"/>
              <w:spacing w:after="0"/>
              <w:rPr>
                <w:sz w:val="20"/>
                <w:szCs w:val="20"/>
                <w:color w:val="auto"/>
              </w:rPr>
            </w:pPr>
            <w:r>
              <w:rPr>
                <w:rFonts w:ascii="Arial" w:cs="Arial" w:eastAsia="Arial" w:hAnsi="Arial"/>
                <w:sz w:val="20"/>
                <w:szCs w:val="20"/>
                <w:color w:val="auto"/>
              </w:rPr>
              <w:t>Phillip Lindsay</w:t>
            </w:r>
          </w:p>
        </w:tc>
        <w:tc>
          <w:tcPr>
            <w:tcW w:w="4860" w:type="dxa"/>
            <w:vAlign w:val="bottom"/>
            <w:gridSpan w:val="4"/>
          </w:tcPr>
          <w:p>
            <w:pPr>
              <w:ind w:left="1140"/>
              <w:spacing w:after="0"/>
              <w:rPr>
                <w:sz w:val="20"/>
                <w:szCs w:val="20"/>
                <w:color w:val="auto"/>
              </w:rPr>
            </w:pPr>
            <w:r>
              <w:rPr>
                <w:rFonts w:ascii="Arial" w:cs="Arial" w:eastAsia="Arial" w:hAnsi="Arial"/>
                <w:sz w:val="20"/>
                <w:szCs w:val="20"/>
                <w:color w:val="auto"/>
              </w:rPr>
              <w:t>Delphine Nayral</w:t>
            </w:r>
          </w:p>
        </w:tc>
      </w:tr>
      <w:tr>
        <w:trPr>
          <w:trHeight w:val="378"/>
        </w:trPr>
        <w:tc>
          <w:tcPr>
            <w:tcW w:w="4320" w:type="dxa"/>
            <w:vAlign w:val="bottom"/>
            <w:gridSpan w:val="4"/>
          </w:tcPr>
          <w:p>
            <w:pPr>
              <w:ind w:left="40"/>
              <w:spacing w:after="0"/>
              <w:rPr>
                <w:sz w:val="20"/>
                <w:szCs w:val="20"/>
                <w:color w:val="auto"/>
              </w:rPr>
            </w:pPr>
            <w:r>
              <w:rPr>
                <w:rFonts w:ascii="Arial" w:cs="Arial" w:eastAsia="Arial" w:hAnsi="Arial"/>
                <w:sz w:val="20"/>
                <w:szCs w:val="20"/>
                <w:color w:val="auto"/>
              </w:rPr>
              <w:t>Director Investor Relations (Europe)</w:t>
            </w:r>
          </w:p>
        </w:tc>
        <w:tc>
          <w:tcPr>
            <w:tcW w:w="4860" w:type="dxa"/>
            <w:vAlign w:val="bottom"/>
            <w:gridSpan w:val="4"/>
          </w:tcPr>
          <w:p>
            <w:pPr>
              <w:ind w:left="1140"/>
              <w:spacing w:after="0"/>
              <w:rPr>
                <w:sz w:val="20"/>
                <w:szCs w:val="20"/>
                <w:color w:val="auto"/>
              </w:rPr>
            </w:pPr>
            <w:r>
              <w:rPr>
                <w:rFonts w:ascii="Arial" w:cs="Arial" w:eastAsia="Arial" w:hAnsi="Arial"/>
                <w:sz w:val="20"/>
                <w:szCs w:val="20"/>
                <w:color w:val="auto"/>
              </w:rPr>
              <w:t>Senior Manager Public Relations</w:t>
            </w:r>
          </w:p>
        </w:tc>
      </w:tr>
      <w:tr>
        <w:trPr>
          <w:trHeight w:val="378"/>
        </w:trPr>
        <w:tc>
          <w:tcPr>
            <w:tcW w:w="4320" w:type="dxa"/>
            <w:vAlign w:val="bottom"/>
            <w:gridSpan w:val="4"/>
          </w:tcPr>
          <w:p>
            <w:pPr>
              <w:ind w:left="40"/>
              <w:spacing w:after="0"/>
              <w:rPr>
                <w:sz w:val="20"/>
                <w:szCs w:val="20"/>
                <w:color w:val="auto"/>
              </w:rPr>
            </w:pPr>
            <w:r>
              <w:rPr>
                <w:rFonts w:ascii="Arial" w:cs="Arial" w:eastAsia="Arial" w:hAnsi="Arial"/>
                <w:sz w:val="20"/>
                <w:szCs w:val="20"/>
                <w:color w:val="auto"/>
              </w:rPr>
              <w:t>Tel: +44 (0) 20 3429 3929</w:t>
            </w:r>
          </w:p>
        </w:tc>
        <w:tc>
          <w:tcPr>
            <w:tcW w:w="4860" w:type="dxa"/>
            <w:vAlign w:val="bottom"/>
            <w:gridSpan w:val="4"/>
          </w:tcPr>
          <w:p>
            <w:pPr>
              <w:ind w:left="1140"/>
              <w:spacing w:after="0"/>
              <w:rPr>
                <w:sz w:val="20"/>
                <w:szCs w:val="20"/>
                <w:color w:val="auto"/>
              </w:rPr>
            </w:pPr>
            <w:r>
              <w:rPr>
                <w:rFonts w:ascii="Arial" w:cs="Arial" w:eastAsia="Arial" w:hAnsi="Arial"/>
                <w:sz w:val="20"/>
                <w:szCs w:val="20"/>
                <w:color w:val="auto"/>
              </w:rPr>
              <w:t>Tel: +33 1 47 78 34 83</w:t>
            </w:r>
          </w:p>
        </w:tc>
      </w:tr>
      <w:tr>
        <w:trPr>
          <w:trHeight w:val="334"/>
        </w:trPr>
        <w:tc>
          <w:tcPr>
            <w:tcW w:w="4320" w:type="dxa"/>
            <w:vAlign w:val="bottom"/>
            <w:gridSpan w:val="4"/>
          </w:tcPr>
          <w:p>
            <w:pPr>
              <w:ind w:left="40"/>
              <w:spacing w:after="0"/>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color w:val="0000FF"/>
              </w:rPr>
              <w:t>Phillip Lindsay</w:t>
            </w:r>
          </w:p>
        </w:tc>
        <w:tc>
          <w:tcPr>
            <w:tcW w:w="4860" w:type="dxa"/>
            <w:vAlign w:val="bottom"/>
            <w:gridSpan w:val="4"/>
          </w:tcPr>
          <w:p>
            <w:pPr>
              <w:ind w:left="1140"/>
              <w:spacing w:after="0"/>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color w:val="0000FF"/>
              </w:rPr>
              <w:t>Delphine Nayral</w:t>
            </w:r>
          </w:p>
        </w:tc>
      </w:tr>
      <w:tr>
        <w:trPr>
          <w:trHeight w:val="20"/>
        </w:trPr>
        <w:tc>
          <w:tcPr>
            <w:tcW w:w="64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ectPr>
          <w:pgSz w:w="11900" w:h="16838" w:orient="portrait"/>
          <w:cols w:equalWidth="0" w:num="1">
            <w:col w:w="11160"/>
          </w:cols>
          <w:pgMar w:left="240" w:top="364" w:right="499" w:bottom="1440" w:gutter="0" w:footer="0" w:header="0"/>
        </w:sectPr>
      </w:pPr>
    </w:p>
    <w:bookmarkStart w:id="17" w:name="page18"/>
    <w:bookmarkEnd w:id="17"/>
    <w:p>
      <w:pPr>
        <w:spacing w:after="0" w:line="1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2641600" cy="523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2641600" cy="52324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0"/>
          <w:szCs w:val="20"/>
          <w:b w:val="1"/>
          <w:bCs w:val="1"/>
          <w:u w:val="single" w:color="auto"/>
          <w:color w:val="auto"/>
        </w:rPr>
        <w:t>TECHNIPFMC plc AND CONSOLIDATED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GAAP FINANCIAL STATEMENTS</w:t>
      </w:r>
    </w:p>
    <w:p>
      <w:pPr>
        <w:spacing w:after="0" w:line="391" w:lineRule="exact"/>
        <w:rPr>
          <w:sz w:val="20"/>
          <w:szCs w:val="20"/>
          <w:color w:val="auto"/>
        </w:rPr>
      </w:pPr>
    </w:p>
    <w:p>
      <w:pPr>
        <w:spacing w:after="0" w:line="247" w:lineRule="auto"/>
        <w:rPr>
          <w:sz w:val="20"/>
          <w:szCs w:val="20"/>
          <w:color w:val="auto"/>
        </w:rPr>
      </w:pPr>
      <w:r>
        <w:rPr>
          <w:rFonts w:ascii="Arial" w:cs="Arial" w:eastAsia="Arial" w:hAnsi="Arial"/>
          <w:sz w:val="20"/>
          <w:szCs w:val="20"/>
          <w:color w:val="auto"/>
        </w:rPr>
        <w:t>The U.S. GAAP financial statements for TechnipFMC plc and consolidated subsidiaries are provided on the following pages. The financial results reflect the following information:</w:t>
      </w:r>
    </w:p>
    <w:p>
      <w:pPr>
        <w:spacing w:after="0" w:line="148" w:lineRule="exact"/>
        <w:rPr>
          <w:sz w:val="20"/>
          <w:szCs w:val="20"/>
          <w:color w:val="auto"/>
        </w:rPr>
      </w:pPr>
    </w:p>
    <w:p>
      <w:pPr>
        <w:ind w:left="660" w:hanging="328"/>
        <w:spacing w:after="0" w:line="247" w:lineRule="auto"/>
        <w:tabs>
          <w:tab w:leader="none" w:pos="660" w:val="left"/>
        </w:tabs>
        <w:numPr>
          <w:ilvl w:val="0"/>
          <w:numId w:val="14"/>
        </w:numPr>
        <w:rPr>
          <w:rFonts w:ascii="Arial" w:cs="Arial" w:eastAsia="Arial" w:hAnsi="Arial"/>
          <w:sz w:val="20"/>
          <w:szCs w:val="20"/>
          <w:color w:val="auto"/>
        </w:rPr>
      </w:pPr>
      <w:r>
        <w:rPr>
          <w:rFonts w:ascii="Arial" w:cs="Arial" w:eastAsia="Arial" w:hAnsi="Arial"/>
          <w:sz w:val="20"/>
          <w:szCs w:val="20"/>
          <w:color w:val="auto"/>
        </w:rPr>
        <w:t>On January 16, 2017, TechnipFMC was created by the business combination of Technip S.A. (Technip) and FMC Technologies, Inc. (FMC Technologies).</w:t>
      </w: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color w:val="auto"/>
        </w:rPr>
        <w:t>Therefore, the results for the three and nine months ended September 30, 2017:</w:t>
      </w:r>
    </w:p>
    <w:p>
      <w:pPr>
        <w:spacing w:after="0" w:line="161"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20"/>
          <w:szCs w:val="20"/>
          <w:color w:val="auto"/>
        </w:rPr>
      </w:pPr>
      <w:r>
        <w:rPr>
          <w:rFonts w:ascii="Arial" w:cs="Arial" w:eastAsia="Arial" w:hAnsi="Arial"/>
          <w:sz w:val="20"/>
          <w:szCs w:val="20"/>
          <w:color w:val="auto"/>
        </w:rPr>
        <w:t>Include the results of Technip for the full period;</w:t>
      </w:r>
    </w:p>
    <w:p>
      <w:pPr>
        <w:jc w:val="both"/>
        <w:ind w:left="660" w:hanging="328"/>
        <w:spacing w:after="0" w:line="243" w:lineRule="auto"/>
        <w:tabs>
          <w:tab w:leader="none" w:pos="660" w:val="left"/>
        </w:tabs>
        <w:numPr>
          <w:ilvl w:val="0"/>
          <w:numId w:val="15"/>
        </w:numPr>
        <w:rPr>
          <w:rFonts w:ascii="Arial" w:cs="Arial" w:eastAsia="Arial" w:hAnsi="Arial"/>
          <w:sz w:val="20"/>
          <w:szCs w:val="20"/>
          <w:color w:val="auto"/>
        </w:rPr>
      </w:pPr>
      <w:r>
        <w:rPr>
          <w:rFonts w:ascii="Arial" w:cs="Arial" w:eastAsia="Arial" w:hAnsi="Arial"/>
          <w:sz w:val="20"/>
          <w:szCs w:val="20"/>
          <w:color w:val="auto"/>
        </w:rPr>
        <w:t>Include the results of FMC Technologies for the period January 17 to September 30, 2017; revenue of $112.9 million during the period from January 1 to January 16, 2017 were excluded, of which approximately 70 percent was reported in Subsea and the remainder in Surface Technologies.</w:t>
      </w:r>
    </w:p>
    <w:p>
      <w:pPr>
        <w:spacing w:after="0" w:line="395" w:lineRule="exact"/>
        <w:rPr>
          <w:sz w:val="20"/>
          <w:szCs w:val="20"/>
          <w:color w:val="auto"/>
        </w:rPr>
      </w:pPr>
    </w:p>
    <w:p>
      <w:pPr>
        <w:ind w:right="20"/>
        <w:spacing w:after="0" w:line="247" w:lineRule="auto"/>
        <w:rPr>
          <w:sz w:val="20"/>
          <w:szCs w:val="20"/>
          <w:color w:val="auto"/>
        </w:rPr>
      </w:pPr>
      <w:r>
        <w:rPr>
          <w:rFonts w:ascii="Arial" w:cs="Arial" w:eastAsia="Arial" w:hAnsi="Arial"/>
          <w:sz w:val="20"/>
          <w:szCs w:val="20"/>
          <w:color w:val="auto"/>
        </w:rPr>
        <w:t>When referencing these financial statements, adjusted EBITDA is also used to describe EBITDA excluding amortization related to the impact of purchase price accounting and other charges and credits.</w:t>
      </w:r>
    </w:p>
    <w:p>
      <w:pPr>
        <w:sectPr>
          <w:pgSz w:w="11900" w:h="16838" w:orient="portrait"/>
          <w:cols w:equalWidth="0" w:num="1">
            <w:col w:w="11420"/>
          </w:cols>
          <w:pgMar w:left="240" w:top="1440" w:right="239" w:bottom="1440" w:gutter="0" w:footer="0" w:header="0"/>
        </w:sectPr>
      </w:pPr>
    </w:p>
    <w:bookmarkStart w:id="18" w:name="page19"/>
    <w:bookmarkEnd w:id="18"/>
    <w:p>
      <w:pPr>
        <w:jc w:val="center"/>
        <w:ind w:right="40"/>
        <w:spacing w:after="0" w:line="266" w:lineRule="auto"/>
        <w:rPr>
          <w:sz w:val="20"/>
          <w:szCs w:val="20"/>
          <w:color w:val="auto"/>
        </w:rPr>
      </w:pPr>
      <w:r>
        <w:rPr>
          <w:rFonts w:ascii="Arial" w:cs="Arial" w:eastAsia="Arial" w:hAnsi="Arial"/>
          <w:sz w:val="18"/>
          <w:szCs w:val="18"/>
          <w:b w:val="1"/>
          <w:bCs w:val="1"/>
          <w:u w:val="single" w:color="auto"/>
          <w:color w:val="auto"/>
        </w:rPr>
        <w:t xml:space="preserve">TECHNIPFMC PLC AND CONSOLIDATED SUBSIDIARIES CONDENSED CONSOLIDATED STATEMENTS OF INCOME </w:t>
      </w:r>
      <w:r>
        <w:rPr>
          <w:rFonts w:ascii="Arial" w:cs="Arial" w:eastAsia="Arial" w:hAnsi="Arial"/>
          <w:sz w:val="18"/>
          <w:szCs w:val="18"/>
          <w:b w:val="1"/>
          <w:bCs w:val="1"/>
          <w:color w:val="auto"/>
        </w:rPr>
        <w:t>(In millions, except per share data)</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60" w:type="dxa"/>
            <w:vAlign w:val="bottom"/>
            <w:gridSpan w:val="5"/>
          </w:tcPr>
          <w:p>
            <w:pPr>
              <w:ind w:left="460"/>
              <w:spacing w:after="0"/>
              <w:rPr>
                <w:sz w:val="20"/>
                <w:szCs w:val="20"/>
                <w:color w:val="auto"/>
              </w:rPr>
            </w:pPr>
            <w:r>
              <w:rPr>
                <w:rFonts w:ascii="Arial" w:cs="Arial" w:eastAsia="Arial" w:hAnsi="Arial"/>
                <w:sz w:val="18"/>
                <w:szCs w:val="18"/>
                <w:b w:val="1"/>
                <w:bCs w:val="1"/>
                <w:color w:val="auto"/>
              </w:rPr>
              <w:t>(Unaudited)</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8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2"/>
              </w:rPr>
              <w:t>Three Months Ended</w:t>
            </w:r>
          </w:p>
        </w:tc>
        <w:tc>
          <w:tcPr>
            <w:tcW w:w="240" w:type="dxa"/>
            <w:vAlign w:val="bottom"/>
          </w:tcPr>
          <w:p>
            <w:pPr>
              <w:spacing w:after="0"/>
              <w:rPr>
                <w:sz w:val="20"/>
                <w:szCs w:val="20"/>
                <w:color w:val="auto"/>
              </w:rPr>
            </w:pPr>
          </w:p>
        </w:tc>
        <w:tc>
          <w:tcPr>
            <w:tcW w:w="206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w w:val="98"/>
              </w:rPr>
              <w:t>Nine Months Ended</w:t>
            </w:r>
          </w:p>
        </w:tc>
        <w:tc>
          <w:tcPr>
            <w:tcW w:w="0" w:type="dxa"/>
            <w:vAlign w:val="bottom"/>
          </w:tcPr>
          <w:p>
            <w:pPr>
              <w:spacing w:after="0"/>
              <w:rPr>
                <w:sz w:val="1"/>
                <w:szCs w:val="1"/>
                <w:color w:val="auto"/>
              </w:rPr>
            </w:pPr>
          </w:p>
        </w:tc>
      </w:tr>
      <w:tr>
        <w:trPr>
          <w:trHeight w:val="270"/>
        </w:trPr>
        <w:tc>
          <w:tcPr>
            <w:tcW w:w="4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18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23"/>
                <w:szCs w:val="23"/>
                <w:color w:val="auto"/>
              </w:rPr>
            </w:pPr>
          </w:p>
        </w:tc>
        <w:tc>
          <w:tcPr>
            <w:tcW w:w="206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0"/>
        </w:trPr>
        <w:tc>
          <w:tcPr>
            <w:tcW w:w="4440" w:type="dxa"/>
            <w:vAlign w:val="bottom"/>
          </w:tcPr>
          <w:p>
            <w:pPr>
              <w:spacing w:after="0"/>
              <w:rPr>
                <w:sz w:val="20"/>
                <w:szCs w:val="20"/>
                <w:color w:val="auto"/>
              </w:rPr>
            </w:pPr>
            <w:r>
              <w:rPr>
                <w:rFonts w:ascii="Arial" w:cs="Arial" w:eastAsia="Arial" w:hAnsi="Arial"/>
                <w:sz w:val="18"/>
                <w:szCs w:val="18"/>
                <w:color w:val="auto"/>
              </w:rPr>
              <w:t>Revenue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3,143.8</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4,140.9</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9,229.9</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11,373.9</w:t>
            </w:r>
          </w:p>
        </w:tc>
        <w:tc>
          <w:tcPr>
            <w:tcW w:w="0" w:type="dxa"/>
            <w:vAlign w:val="bottom"/>
          </w:tcPr>
          <w:p>
            <w:pPr>
              <w:spacing w:after="0"/>
              <w:rPr>
                <w:sz w:val="1"/>
                <w:szCs w:val="1"/>
                <w:color w:val="auto"/>
              </w:rPr>
            </w:pPr>
          </w:p>
        </w:tc>
      </w:tr>
      <w:tr>
        <w:trPr>
          <w:trHeight w:val="270"/>
        </w:trPr>
        <w:tc>
          <w:tcPr>
            <w:tcW w:w="4440" w:type="dxa"/>
            <w:vAlign w:val="bottom"/>
          </w:tcPr>
          <w:p>
            <w:pPr>
              <w:spacing w:after="0"/>
              <w:rPr>
                <w:sz w:val="20"/>
                <w:szCs w:val="20"/>
                <w:color w:val="auto"/>
              </w:rPr>
            </w:pPr>
            <w:r>
              <w:rPr>
                <w:rFonts w:ascii="Arial" w:cs="Arial" w:eastAsia="Arial" w:hAnsi="Arial"/>
                <w:sz w:val="18"/>
                <w:szCs w:val="18"/>
                <w:color w:val="auto"/>
              </w:rPr>
              <w:t>Costs and expenses</w:t>
            </w:r>
          </w:p>
        </w:tc>
        <w:tc>
          <w:tcPr>
            <w:tcW w:w="22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2,863.7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3,872.3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8,527.2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10,704.6</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280.1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268.6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702.7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669.3</w:t>
            </w:r>
          </w:p>
        </w:tc>
        <w:tc>
          <w:tcPr>
            <w:tcW w:w="0" w:type="dxa"/>
            <w:vAlign w:val="bottom"/>
          </w:tcPr>
          <w:p>
            <w:pPr>
              <w:spacing w:after="0"/>
              <w:rPr>
                <w:sz w:val="1"/>
                <w:szCs w:val="1"/>
                <w:color w:val="auto"/>
              </w:rPr>
            </w:pPr>
          </w:p>
        </w:tc>
      </w:tr>
      <w:tr>
        <w:trPr>
          <w:trHeight w:val="486"/>
        </w:trPr>
        <w:tc>
          <w:tcPr>
            <w:tcW w:w="444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22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4440" w:type="dxa"/>
            <w:vAlign w:val="bottom"/>
          </w:tcPr>
          <w:p>
            <w:pPr>
              <w:spacing w:after="0"/>
              <w:rPr>
                <w:sz w:val="20"/>
                <w:szCs w:val="20"/>
                <w:color w:val="auto"/>
              </w:rPr>
            </w:pPr>
            <w:r>
              <w:rPr>
                <w:rFonts w:ascii="Arial" w:cs="Arial" w:eastAsia="Arial" w:hAnsi="Arial"/>
                <w:sz w:val="18"/>
                <w:szCs w:val="18"/>
                <w:color w:val="auto"/>
              </w:rPr>
              <w:t>Income before net interest expense and income taxes</w:t>
            </w:r>
          </w:p>
        </w:tc>
        <w:tc>
          <w:tcPr>
            <w:tcW w:w="22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306.9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315.9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760.7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751.9</w:t>
            </w:r>
          </w:p>
        </w:tc>
        <w:tc>
          <w:tcPr>
            <w:tcW w:w="0" w:type="dxa"/>
            <w:vAlign w:val="bottom"/>
          </w:tcPr>
          <w:p>
            <w:pPr>
              <w:spacing w:after="0"/>
              <w:rPr>
                <w:sz w:val="1"/>
                <w:szCs w:val="1"/>
                <w:color w:val="auto"/>
              </w:rPr>
            </w:pPr>
          </w:p>
        </w:tc>
      </w:tr>
      <w:tr>
        <w:trPr>
          <w:trHeight w:val="270"/>
        </w:trPr>
        <w:tc>
          <w:tcPr>
            <w:tcW w:w="4440" w:type="dxa"/>
            <w:vAlign w:val="bottom"/>
          </w:tcPr>
          <w:p>
            <w:pPr>
              <w:spacing w:after="0"/>
              <w:rPr>
                <w:sz w:val="20"/>
                <w:szCs w:val="20"/>
                <w:color w:val="auto"/>
              </w:rPr>
            </w:pPr>
            <w:r>
              <w:rPr>
                <w:rFonts w:ascii="Arial" w:cs="Arial" w:eastAsia="Arial" w:hAnsi="Arial"/>
                <w:sz w:val="18"/>
                <w:szCs w:val="18"/>
                <w:color w:val="auto"/>
              </w:rPr>
              <w:t>Net interest expense</w:t>
            </w:r>
          </w:p>
        </w:tc>
        <w:tc>
          <w:tcPr>
            <w:tcW w:w="2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(86.3)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(244.3)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(240.5)</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44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2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229.6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516.4</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511.4</w:t>
            </w:r>
          </w:p>
        </w:tc>
        <w:tc>
          <w:tcPr>
            <w:tcW w:w="0" w:type="dxa"/>
            <w:vAlign w:val="bottom"/>
          </w:tcPr>
          <w:p>
            <w:pPr>
              <w:spacing w:after="0"/>
              <w:rPr>
                <w:sz w:val="1"/>
                <w:szCs w:val="1"/>
                <w:color w:val="auto"/>
              </w:rPr>
            </w:pPr>
          </w:p>
        </w:tc>
      </w:tr>
      <w:tr>
        <w:trPr>
          <w:trHeight w:val="270"/>
        </w:trPr>
        <w:tc>
          <w:tcPr>
            <w:tcW w:w="44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2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111.7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180.7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249.7</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4440" w:type="dxa"/>
            <w:vAlign w:val="bottom"/>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134.2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117.9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335.7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261.7</w:t>
            </w:r>
          </w:p>
        </w:tc>
        <w:tc>
          <w:tcPr>
            <w:tcW w:w="0" w:type="dxa"/>
            <w:vAlign w:val="bottom"/>
          </w:tcPr>
          <w:p>
            <w:pPr>
              <w:spacing w:after="0"/>
              <w:rPr>
                <w:sz w:val="1"/>
                <w:szCs w:val="1"/>
                <w:color w:val="auto"/>
              </w:rPr>
            </w:pPr>
          </w:p>
        </w:tc>
      </w:tr>
      <w:tr>
        <w:trPr>
          <w:trHeight w:val="270"/>
        </w:trPr>
        <w:tc>
          <w:tcPr>
            <w:tcW w:w="4440" w:type="dxa"/>
            <w:vAlign w:val="bottom"/>
          </w:tcPr>
          <w:p>
            <w:pPr>
              <w:spacing w:after="0"/>
              <w:rPr>
                <w:sz w:val="20"/>
                <w:szCs w:val="20"/>
                <w:color w:val="auto"/>
              </w:rPr>
            </w:pPr>
            <w:r>
              <w:rPr>
                <w:rFonts w:ascii="Arial" w:cs="Arial" w:eastAsia="Arial" w:hAnsi="Arial"/>
                <w:sz w:val="18"/>
                <w:szCs w:val="18"/>
                <w:color w:val="auto"/>
                <w:w w:val="99"/>
              </w:rPr>
              <w:t>Net loss (income) attributable to noncontrolling interests</w:t>
            </w:r>
          </w:p>
        </w:tc>
        <w:tc>
          <w:tcPr>
            <w:tcW w:w="22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73"/>
        </w:trPr>
        <w:tc>
          <w:tcPr>
            <w:tcW w:w="4440" w:type="dxa"/>
            <w:vAlign w:val="bottom"/>
          </w:tcPr>
          <w:p>
            <w:pPr>
              <w:spacing w:after="0"/>
              <w:rPr>
                <w:sz w:val="20"/>
                <w:szCs w:val="20"/>
                <w:color w:val="auto"/>
              </w:rPr>
            </w:pPr>
            <w:r>
              <w:rPr>
                <w:rFonts w:ascii="Arial" w:cs="Arial" w:eastAsia="Arial" w:hAnsi="Arial"/>
                <w:sz w:val="18"/>
                <w:szCs w:val="18"/>
                <w:color w:val="auto"/>
              </w:rPr>
              <w:t>Net income attributable to TechnipFMC plc</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136.9</w:t>
            </w:r>
          </w:p>
        </w:tc>
        <w:tc>
          <w:tcPr>
            <w:tcW w:w="100" w:type="dxa"/>
            <w:vAlign w:val="bottom"/>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121.0</w:t>
            </w:r>
          </w:p>
        </w:tc>
        <w:tc>
          <w:tcPr>
            <w:tcW w:w="100" w:type="dxa"/>
            <w:vAlign w:val="bottom"/>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337.7</w:t>
            </w:r>
          </w:p>
        </w:tc>
        <w:tc>
          <w:tcPr>
            <w:tcW w:w="100" w:type="dxa"/>
            <w:vAlign w:val="bottom"/>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267.2</w:t>
            </w:r>
          </w:p>
        </w:tc>
        <w:tc>
          <w:tcPr>
            <w:tcW w:w="0" w:type="dxa"/>
            <w:vAlign w:val="bottom"/>
          </w:tcPr>
          <w:p>
            <w:pPr>
              <w:spacing w:after="0"/>
              <w:rPr>
                <w:sz w:val="1"/>
                <w:szCs w:val="1"/>
                <w:color w:val="auto"/>
              </w:rPr>
            </w:pPr>
          </w:p>
        </w:tc>
      </w:tr>
      <w:tr>
        <w:trPr>
          <w:trHeight w:val="20"/>
        </w:trPr>
        <w:tc>
          <w:tcPr>
            <w:tcW w:w="4440" w:type="dxa"/>
            <w:vAlign w:val="bottom"/>
            <w:vMerge w:val="restart"/>
          </w:tcPr>
          <w:p>
            <w:pPr>
              <w:spacing w:after="0"/>
              <w:rPr>
                <w:sz w:val="20"/>
                <w:szCs w:val="20"/>
                <w:color w:val="auto"/>
              </w:rPr>
            </w:pPr>
            <w:r>
              <w:rPr>
                <w:rFonts w:ascii="Arial" w:cs="Arial" w:eastAsia="Arial" w:hAnsi="Arial"/>
                <w:sz w:val="18"/>
                <w:szCs w:val="18"/>
                <w:color w:val="auto"/>
              </w:rPr>
              <w:t>Earnings per share attributable to TechnipFMC plc:</w:t>
            </w: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44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440" w:type="dxa"/>
            <w:vAlign w:val="bottom"/>
          </w:tcPr>
          <w:p>
            <w:pPr>
              <w:ind w:left="24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0.73</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70"/>
        </w:trPr>
        <w:tc>
          <w:tcPr>
            <w:tcW w:w="4440" w:type="dxa"/>
            <w:vAlign w:val="bottom"/>
          </w:tcPr>
          <w:p>
            <w:pPr>
              <w:ind w:left="24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0.73</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554"/>
        </w:trPr>
        <w:tc>
          <w:tcPr>
            <w:tcW w:w="444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440" w:type="dxa"/>
            <w:vAlign w:val="bottom"/>
          </w:tcPr>
          <w:p>
            <w:pPr>
              <w:ind w:left="24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454.5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467.2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460.0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466.8</w:t>
            </w:r>
          </w:p>
        </w:tc>
        <w:tc>
          <w:tcPr>
            <w:tcW w:w="0" w:type="dxa"/>
            <w:vAlign w:val="bottom"/>
          </w:tcPr>
          <w:p>
            <w:pPr>
              <w:spacing w:after="0"/>
              <w:rPr>
                <w:sz w:val="1"/>
                <w:szCs w:val="1"/>
                <w:color w:val="auto"/>
              </w:rPr>
            </w:pPr>
          </w:p>
        </w:tc>
      </w:tr>
      <w:tr>
        <w:trPr>
          <w:trHeight w:val="270"/>
        </w:trPr>
        <w:tc>
          <w:tcPr>
            <w:tcW w:w="4440" w:type="dxa"/>
            <w:vAlign w:val="bottom"/>
          </w:tcPr>
          <w:p>
            <w:pPr>
              <w:ind w:left="24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459.0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469.7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464.0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468.3</w:t>
            </w:r>
          </w:p>
        </w:tc>
        <w:tc>
          <w:tcPr>
            <w:tcW w:w="0" w:type="dxa"/>
            <w:vAlign w:val="bottom"/>
          </w:tcPr>
          <w:p>
            <w:pPr>
              <w:spacing w:after="0"/>
              <w:rPr>
                <w:sz w:val="1"/>
                <w:szCs w:val="1"/>
                <w:color w:val="auto"/>
              </w:rPr>
            </w:pPr>
          </w:p>
        </w:tc>
      </w:tr>
      <w:tr>
        <w:trPr>
          <w:trHeight w:val="554"/>
        </w:trPr>
        <w:tc>
          <w:tcPr>
            <w:tcW w:w="4440" w:type="dxa"/>
            <w:vAlign w:val="bottom"/>
          </w:tcPr>
          <w:p>
            <w:pPr>
              <w:spacing w:after="0"/>
              <w:rPr>
                <w:sz w:val="20"/>
                <w:szCs w:val="20"/>
                <w:color w:val="auto"/>
              </w:rPr>
            </w:pPr>
            <w:r>
              <w:rPr>
                <w:rFonts w:ascii="Arial" w:cs="Arial" w:eastAsia="Arial" w:hAnsi="Arial"/>
                <w:sz w:val="18"/>
                <w:szCs w:val="18"/>
                <w:color w:val="auto"/>
              </w:rPr>
              <w:t>Cash dividends declared per share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ectPr>
          <w:pgSz w:w="11900" w:h="16838" w:orient="portrait"/>
          <w:cols w:equalWidth="0" w:num="1">
            <w:col w:w="9140"/>
          </w:cols>
          <w:pgMar w:left="1400" w:top="526" w:right="1359" w:bottom="1440" w:gutter="0" w:footer="0" w:header="0"/>
        </w:sectPr>
      </w:pPr>
    </w:p>
    <w:bookmarkStart w:id="19" w:name="page20"/>
    <w:bookmarkEnd w:id="19"/>
    <w:p>
      <w:pPr>
        <w:jc w:val="center"/>
        <w:ind w:right="-651"/>
        <w:spacing w:after="0"/>
        <w:rPr>
          <w:sz w:val="20"/>
          <w:szCs w:val="20"/>
          <w:color w:val="auto"/>
        </w:rPr>
      </w:pPr>
      <w:r>
        <w:rPr>
          <w:rFonts w:ascii="Arial" w:cs="Arial" w:eastAsia="Arial" w:hAnsi="Arial"/>
          <w:sz w:val="18"/>
          <w:szCs w:val="18"/>
          <w:b w:val="1"/>
          <w:bCs w:val="1"/>
          <w:u w:val="single" w:color="auto"/>
          <w:color w:val="auto"/>
        </w:rPr>
        <w:t>TECHNIPFMC PLC AND CONSOLIDATED SUBSIDIARIES</w:t>
      </w:r>
    </w:p>
    <w:p>
      <w:pPr>
        <w:spacing w:after="0" w:line="27" w:lineRule="exact"/>
        <w:rPr>
          <w:sz w:val="20"/>
          <w:szCs w:val="20"/>
          <w:color w:val="auto"/>
        </w:rPr>
      </w:pPr>
    </w:p>
    <w:p>
      <w:pPr>
        <w:jc w:val="center"/>
        <w:ind w:right="-651"/>
        <w:spacing w:after="0"/>
        <w:rPr>
          <w:sz w:val="20"/>
          <w:szCs w:val="20"/>
          <w:color w:val="auto"/>
        </w:rPr>
      </w:pPr>
      <w:r>
        <w:rPr>
          <w:rFonts w:ascii="Arial" w:cs="Arial" w:eastAsia="Arial" w:hAnsi="Arial"/>
          <w:sz w:val="18"/>
          <w:szCs w:val="18"/>
          <w:b w:val="1"/>
          <w:bCs w:val="1"/>
          <w:u w:val="single" w:color="auto"/>
          <w:color w:val="auto"/>
        </w:rPr>
        <w:t>BUSINESS SEGMENT DATA</w:t>
      </w:r>
    </w:p>
    <w:p>
      <w:pPr>
        <w:spacing w:after="0" w:line="9" w:lineRule="exact"/>
        <w:rPr>
          <w:sz w:val="20"/>
          <w:szCs w:val="20"/>
          <w:color w:val="auto"/>
        </w:rPr>
      </w:pPr>
    </w:p>
    <w:p>
      <w:pPr>
        <w:jc w:val="center"/>
        <w:ind w:right="-651"/>
        <w:spacing w:after="0"/>
        <w:rPr>
          <w:sz w:val="20"/>
          <w:szCs w:val="20"/>
          <w:color w:val="auto"/>
        </w:rPr>
      </w:pPr>
      <w:r>
        <w:rPr>
          <w:rFonts w:ascii="Arial" w:cs="Arial" w:eastAsia="Arial" w:hAnsi="Arial"/>
          <w:sz w:val="18"/>
          <w:szCs w:val="18"/>
          <w:b w:val="1"/>
          <w:bCs w:val="1"/>
          <w:color w:val="auto"/>
        </w:rPr>
        <w:t>(In millions)</w:t>
      </w:r>
    </w:p>
    <w:p>
      <w:pPr>
        <w:spacing w:after="0" w:line="369" w:lineRule="exact"/>
        <w:rPr>
          <w:sz w:val="20"/>
          <w:szCs w:val="20"/>
          <w:color w:val="auto"/>
        </w:rPr>
      </w:pPr>
    </w:p>
    <w:tbl>
      <w:tblPr>
        <w:tblLayout w:type="fixed"/>
        <w:tblInd w:w="1152"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60" w:type="dxa"/>
            <w:vAlign w:val="bottom"/>
            <w:gridSpan w:val="5"/>
          </w:tcPr>
          <w:p>
            <w:pPr>
              <w:ind w:left="460"/>
              <w:spacing w:after="0"/>
              <w:rPr>
                <w:sz w:val="20"/>
                <w:szCs w:val="20"/>
                <w:color w:val="auto"/>
              </w:rPr>
            </w:pPr>
            <w:r>
              <w:rPr>
                <w:rFonts w:ascii="Arial" w:cs="Arial" w:eastAsia="Arial" w:hAnsi="Arial"/>
                <w:sz w:val="18"/>
                <w:szCs w:val="18"/>
                <w:b w:val="1"/>
                <w:bCs w:val="1"/>
                <w:color w:val="auto"/>
              </w:rPr>
              <w:t>(Unaudited)</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8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2"/>
              </w:rPr>
              <w:t>Three Months Ended</w:t>
            </w:r>
          </w:p>
        </w:tc>
        <w:tc>
          <w:tcPr>
            <w:tcW w:w="240" w:type="dxa"/>
            <w:vAlign w:val="bottom"/>
          </w:tcPr>
          <w:p>
            <w:pPr>
              <w:spacing w:after="0"/>
              <w:rPr>
                <w:sz w:val="20"/>
                <w:szCs w:val="20"/>
                <w:color w:val="auto"/>
              </w:rPr>
            </w:pPr>
          </w:p>
        </w:tc>
        <w:tc>
          <w:tcPr>
            <w:tcW w:w="206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w w:val="98"/>
              </w:rPr>
              <w:t>Nine Months Ended</w:t>
            </w:r>
          </w:p>
        </w:tc>
        <w:tc>
          <w:tcPr>
            <w:tcW w:w="0" w:type="dxa"/>
            <w:vAlign w:val="bottom"/>
          </w:tcPr>
          <w:p>
            <w:pPr>
              <w:spacing w:after="0"/>
              <w:rPr>
                <w:sz w:val="1"/>
                <w:szCs w:val="1"/>
                <w:color w:val="auto"/>
              </w:rPr>
            </w:pPr>
          </w:p>
        </w:tc>
      </w:tr>
      <w:tr>
        <w:trPr>
          <w:trHeight w:val="270"/>
        </w:trPr>
        <w:tc>
          <w:tcPr>
            <w:tcW w:w="6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18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23"/>
                <w:szCs w:val="23"/>
                <w:color w:val="auto"/>
              </w:rPr>
            </w:pPr>
          </w:p>
        </w:tc>
        <w:tc>
          <w:tcPr>
            <w:tcW w:w="206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444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Revenue</w:t>
            </w: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440" w:type="dxa"/>
            <w:vAlign w:val="bottom"/>
            <w:gridSpan w:val="5"/>
            <w:vMerge w:val="continue"/>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Subsea</w:t>
            </w:r>
          </w:p>
        </w:tc>
        <w:tc>
          <w:tcPr>
            <w:tcW w:w="3780" w:type="dxa"/>
            <w:vAlign w:val="bottom"/>
            <w:gridSpan w:val="4"/>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1,209.1</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1,478.2</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3,606.7</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4,585.2</w:t>
            </w:r>
          </w:p>
        </w:tc>
        <w:tc>
          <w:tcPr>
            <w:tcW w:w="0" w:type="dxa"/>
            <w:vAlign w:val="bottom"/>
          </w:tcPr>
          <w:p>
            <w:pPr>
              <w:spacing w:after="0"/>
              <w:rPr>
                <w:sz w:val="1"/>
                <w:szCs w:val="1"/>
                <w:color w:val="auto"/>
              </w:rPr>
            </w:pPr>
          </w:p>
        </w:tc>
      </w:tr>
      <w:tr>
        <w:trPr>
          <w:trHeight w:val="270"/>
        </w:trPr>
        <w:tc>
          <w:tcPr>
            <w:tcW w:w="4440" w:type="dxa"/>
            <w:vAlign w:val="bottom"/>
            <w:gridSpan w:val="5"/>
          </w:tcPr>
          <w:p>
            <w:pPr>
              <w:spacing w:after="0"/>
              <w:rPr>
                <w:sz w:val="20"/>
                <w:szCs w:val="20"/>
                <w:color w:val="auto"/>
              </w:rPr>
            </w:pPr>
            <w:r>
              <w:rPr>
                <w:rFonts w:ascii="Arial" w:cs="Arial" w:eastAsia="Arial" w:hAnsi="Arial"/>
                <w:sz w:val="18"/>
                <w:szCs w:val="18"/>
                <w:color w:val="auto"/>
              </w:rPr>
              <w:t>Onshore/Offshore</w:t>
            </w:r>
          </w:p>
        </w:tc>
        <w:tc>
          <w:tcPr>
            <w:tcW w:w="22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1,532.5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2,308.1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4,448.3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5,885.0</w:t>
            </w:r>
          </w:p>
        </w:tc>
        <w:tc>
          <w:tcPr>
            <w:tcW w:w="0" w:type="dxa"/>
            <w:vAlign w:val="bottom"/>
          </w:tcPr>
          <w:p>
            <w:pPr>
              <w:spacing w:after="0"/>
              <w:rPr>
                <w:sz w:val="1"/>
                <w:szCs w:val="1"/>
                <w:color w:val="auto"/>
              </w:rPr>
            </w:pPr>
          </w:p>
        </w:tc>
      </w:tr>
      <w:tr>
        <w:trPr>
          <w:trHeight w:val="270"/>
        </w:trPr>
        <w:tc>
          <w:tcPr>
            <w:tcW w:w="4440" w:type="dxa"/>
            <w:vAlign w:val="bottom"/>
            <w:gridSpan w:val="5"/>
          </w:tcPr>
          <w:p>
            <w:pPr>
              <w:spacing w:after="0"/>
              <w:rPr>
                <w:sz w:val="20"/>
                <w:szCs w:val="20"/>
                <w:color w:val="auto"/>
              </w:rPr>
            </w:pPr>
            <w:r>
              <w:rPr>
                <w:rFonts w:ascii="Arial" w:cs="Arial" w:eastAsia="Arial" w:hAnsi="Arial"/>
                <w:sz w:val="18"/>
                <w:szCs w:val="18"/>
                <w:color w:val="auto"/>
              </w:rPr>
              <w:t>Surface Technologies</w:t>
            </w:r>
          </w:p>
        </w:tc>
        <w:tc>
          <w:tcPr>
            <w:tcW w:w="22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402.2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353.9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1,174.9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902.3</w:t>
            </w:r>
          </w:p>
        </w:tc>
        <w:tc>
          <w:tcPr>
            <w:tcW w:w="0" w:type="dxa"/>
            <w:vAlign w:val="bottom"/>
          </w:tcPr>
          <w:p>
            <w:pPr>
              <w:spacing w:after="0"/>
              <w:rPr>
                <w:sz w:val="1"/>
                <w:szCs w:val="1"/>
                <w:color w:val="auto"/>
              </w:rPr>
            </w:pPr>
          </w:p>
        </w:tc>
      </w:tr>
      <w:tr>
        <w:trPr>
          <w:trHeight w:val="270"/>
        </w:trPr>
        <w:tc>
          <w:tcPr>
            <w:tcW w:w="4440" w:type="dxa"/>
            <w:vAlign w:val="bottom"/>
            <w:gridSpan w:val="5"/>
          </w:tcPr>
          <w:p>
            <w:pPr>
              <w:spacing w:after="0"/>
              <w:rPr>
                <w:sz w:val="20"/>
                <w:szCs w:val="20"/>
                <w:color w:val="auto"/>
              </w:rPr>
            </w:pPr>
            <w:r>
              <w:rPr>
                <w:rFonts w:ascii="Arial" w:cs="Arial" w:eastAsia="Arial" w:hAnsi="Arial"/>
                <w:sz w:val="18"/>
                <w:szCs w:val="18"/>
                <w:color w:val="auto"/>
              </w:rPr>
              <w:t>Other revenue</w:t>
            </w:r>
          </w:p>
        </w:tc>
        <w:tc>
          <w:tcPr>
            <w:tcW w:w="22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3,143.8</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4,140.9</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9,229.9</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11,373.9</w:t>
            </w:r>
          </w:p>
        </w:tc>
        <w:tc>
          <w:tcPr>
            <w:tcW w:w="0" w:type="dxa"/>
            <w:vAlign w:val="bottom"/>
          </w:tcPr>
          <w:p>
            <w:pPr>
              <w:spacing w:after="0"/>
              <w:rPr>
                <w:sz w:val="1"/>
                <w:szCs w:val="1"/>
                <w:color w:val="auto"/>
              </w:rPr>
            </w:pPr>
          </w:p>
        </w:tc>
      </w:tr>
      <w:tr>
        <w:trPr>
          <w:trHeight w:val="27"/>
        </w:trPr>
        <w:tc>
          <w:tcPr>
            <w:tcW w:w="2140" w:type="dxa"/>
            <w:vAlign w:val="bottom"/>
            <w:gridSpan w:val="3"/>
            <w:vMerge w:val="restart"/>
          </w:tcPr>
          <w:p>
            <w:pPr>
              <w:spacing w:after="0"/>
              <w:rPr>
                <w:sz w:val="20"/>
                <w:szCs w:val="20"/>
                <w:color w:val="auto"/>
              </w:rPr>
            </w:pPr>
            <w:r>
              <w:rPr>
                <w:rFonts w:ascii="Arial" w:cs="Arial" w:eastAsia="Arial" w:hAnsi="Arial"/>
                <w:sz w:val="18"/>
                <w:szCs w:val="18"/>
                <w:b w:val="1"/>
                <w:bCs w:val="1"/>
                <w:color w:val="auto"/>
                <w:w w:val="87"/>
              </w:rPr>
              <w:t>Income before income taxes</w:t>
            </w:r>
          </w:p>
        </w:tc>
        <w:tc>
          <w:tcPr>
            <w:tcW w:w="2300" w:type="dxa"/>
            <w:vAlign w:val="bottom"/>
            <w:gridSpan w:val="2"/>
            <w:vMerge w:val="restart"/>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140" w:type="dxa"/>
            <w:vAlign w:val="bottom"/>
            <w:gridSpan w:val="3"/>
            <w:vMerge w:val="continue"/>
          </w:tcPr>
          <w:p>
            <w:pPr>
              <w:spacing w:after="0" w:line="20" w:lineRule="exact"/>
              <w:rPr>
                <w:sz w:val="1"/>
                <w:szCs w:val="1"/>
                <w:color w:val="auto"/>
              </w:rPr>
            </w:pPr>
          </w:p>
        </w:tc>
        <w:tc>
          <w:tcPr>
            <w:tcW w:w="2300" w:type="dxa"/>
            <w:vAlign w:val="bottom"/>
            <w:gridSpan w:val="2"/>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2"/>
        </w:trPr>
        <w:tc>
          <w:tcPr>
            <w:tcW w:w="2140" w:type="dxa"/>
            <w:vAlign w:val="bottom"/>
            <w:tcBorders>
              <w:bottom w:val="single" w:sz="8" w:color="auto"/>
            </w:tcBorders>
            <w:gridSpan w:val="3"/>
            <w:vMerge w:val="continue"/>
          </w:tcPr>
          <w:p>
            <w:pPr>
              <w:spacing w:after="0"/>
              <w:rPr>
                <w:sz w:val="24"/>
                <w:szCs w:val="24"/>
                <w:color w:val="auto"/>
              </w:rPr>
            </w:pPr>
          </w:p>
        </w:tc>
        <w:tc>
          <w:tcPr>
            <w:tcW w:w="23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4440" w:type="dxa"/>
            <w:vAlign w:val="bottom"/>
            <w:gridSpan w:val="5"/>
          </w:tcPr>
          <w:p>
            <w:pPr>
              <w:spacing w:after="0"/>
              <w:rPr>
                <w:sz w:val="20"/>
                <w:szCs w:val="20"/>
                <w:color w:val="auto"/>
              </w:rPr>
            </w:pPr>
            <w:r>
              <w:rPr>
                <w:rFonts w:ascii="Arial" w:cs="Arial" w:eastAsia="Arial" w:hAnsi="Arial"/>
                <w:sz w:val="18"/>
                <w:szCs w:val="18"/>
                <w:color w:val="auto"/>
              </w:rPr>
              <w:t>Segment operating profit (loss)</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24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Subsea</w:t>
            </w:r>
          </w:p>
        </w:tc>
        <w:tc>
          <w:tcPr>
            <w:tcW w:w="220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79.7</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102.8</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210.0</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393.1</w:t>
            </w:r>
          </w:p>
        </w:tc>
        <w:tc>
          <w:tcPr>
            <w:tcW w:w="0" w:type="dxa"/>
            <w:vAlign w:val="bottom"/>
          </w:tcPr>
          <w:p>
            <w:pPr>
              <w:spacing w:after="0"/>
              <w:rPr>
                <w:sz w:val="1"/>
                <w:szCs w:val="1"/>
                <w:color w:val="auto"/>
              </w:rPr>
            </w:pPr>
          </w:p>
        </w:tc>
      </w:tr>
      <w:tr>
        <w:trPr>
          <w:trHeight w:val="270"/>
        </w:trPr>
        <w:tc>
          <w:tcPr>
            <w:tcW w:w="4440" w:type="dxa"/>
            <w:vAlign w:val="bottom"/>
            <w:gridSpan w:val="5"/>
          </w:tcPr>
          <w:p>
            <w:pPr>
              <w:spacing w:after="0"/>
              <w:rPr>
                <w:sz w:val="20"/>
                <w:szCs w:val="20"/>
                <w:color w:val="auto"/>
              </w:rPr>
            </w:pPr>
            <w:r>
              <w:rPr>
                <w:rFonts w:ascii="Arial" w:cs="Arial" w:eastAsia="Arial" w:hAnsi="Arial"/>
                <w:sz w:val="18"/>
                <w:szCs w:val="18"/>
                <w:color w:val="auto"/>
              </w:rPr>
              <w:t>Onshore/Offshore</w:t>
            </w:r>
          </w:p>
        </w:tc>
        <w:tc>
          <w:tcPr>
            <w:tcW w:w="22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243.4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206.4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617.6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553.7</w:t>
            </w:r>
          </w:p>
        </w:tc>
        <w:tc>
          <w:tcPr>
            <w:tcW w:w="0" w:type="dxa"/>
            <w:vAlign w:val="bottom"/>
          </w:tcPr>
          <w:p>
            <w:pPr>
              <w:spacing w:after="0"/>
              <w:rPr>
                <w:sz w:val="1"/>
                <w:szCs w:val="1"/>
                <w:color w:val="auto"/>
              </w:rPr>
            </w:pPr>
          </w:p>
        </w:tc>
      </w:tr>
      <w:tr>
        <w:trPr>
          <w:trHeight w:val="270"/>
        </w:trPr>
        <w:tc>
          <w:tcPr>
            <w:tcW w:w="4440" w:type="dxa"/>
            <w:vAlign w:val="bottom"/>
            <w:gridSpan w:val="5"/>
          </w:tcPr>
          <w:p>
            <w:pPr>
              <w:spacing w:after="0"/>
              <w:rPr>
                <w:sz w:val="20"/>
                <w:szCs w:val="20"/>
                <w:color w:val="auto"/>
              </w:rPr>
            </w:pPr>
            <w:r>
              <w:rPr>
                <w:rFonts w:ascii="Arial" w:cs="Arial" w:eastAsia="Arial" w:hAnsi="Arial"/>
                <w:sz w:val="18"/>
                <w:szCs w:val="18"/>
                <w:color w:val="auto"/>
              </w:rPr>
              <w:t>Surface Technologies</w:t>
            </w:r>
          </w:p>
        </w:tc>
        <w:tc>
          <w:tcPr>
            <w:tcW w:w="22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134.0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40" w:type="dxa"/>
            <w:vAlign w:val="bottom"/>
            <w:gridSpan w:val="5"/>
          </w:tcPr>
          <w:p>
            <w:pPr>
              <w:spacing w:after="0"/>
              <w:rPr>
                <w:sz w:val="20"/>
                <w:szCs w:val="20"/>
                <w:color w:val="auto"/>
              </w:rPr>
            </w:pPr>
            <w:r>
              <w:rPr>
                <w:rFonts w:ascii="Arial" w:cs="Arial" w:eastAsia="Arial" w:hAnsi="Arial"/>
                <w:sz w:val="18"/>
                <w:szCs w:val="18"/>
                <w:color w:val="auto"/>
              </w:rPr>
              <w:t>Total segment operating profit</w:t>
            </w:r>
          </w:p>
        </w:tc>
        <w:tc>
          <w:tcPr>
            <w:tcW w:w="22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375.0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358.2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961.6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976.2</w:t>
            </w:r>
          </w:p>
        </w:tc>
        <w:tc>
          <w:tcPr>
            <w:tcW w:w="0" w:type="dxa"/>
            <w:vAlign w:val="bottom"/>
          </w:tcPr>
          <w:p>
            <w:pPr>
              <w:spacing w:after="0"/>
              <w:rPr>
                <w:sz w:val="1"/>
                <w:szCs w:val="1"/>
                <w:color w:val="auto"/>
              </w:rPr>
            </w:pPr>
          </w:p>
        </w:tc>
      </w:tr>
      <w:tr>
        <w:trPr>
          <w:trHeight w:val="27"/>
        </w:trPr>
        <w:tc>
          <w:tcPr>
            <w:tcW w:w="1160" w:type="dxa"/>
            <w:vAlign w:val="bottom"/>
            <w:gridSpan w:val="2"/>
            <w:vMerge w:val="restart"/>
          </w:tcPr>
          <w:p>
            <w:pPr>
              <w:spacing w:after="0"/>
              <w:rPr>
                <w:sz w:val="20"/>
                <w:szCs w:val="20"/>
                <w:color w:val="auto"/>
              </w:rPr>
            </w:pPr>
            <w:r>
              <w:rPr>
                <w:rFonts w:ascii="Arial" w:cs="Arial" w:eastAsia="Arial" w:hAnsi="Arial"/>
                <w:sz w:val="18"/>
                <w:szCs w:val="18"/>
                <w:color w:val="auto"/>
                <w:w w:val="88"/>
              </w:rPr>
              <w:t>Corporate items</w:t>
            </w:r>
          </w:p>
        </w:tc>
        <w:tc>
          <w:tcPr>
            <w:tcW w:w="3280" w:type="dxa"/>
            <w:vAlign w:val="bottom"/>
            <w:gridSpan w:val="3"/>
            <w:vMerge w:val="restart"/>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5"/>
        </w:trPr>
        <w:tc>
          <w:tcPr>
            <w:tcW w:w="1160" w:type="dxa"/>
            <w:vAlign w:val="bottom"/>
            <w:tcBorders>
              <w:bottom w:val="single" w:sz="8" w:color="auto"/>
            </w:tcBorders>
            <w:gridSpan w:val="2"/>
            <w:vMerge w:val="continue"/>
          </w:tcPr>
          <w:p>
            <w:pPr>
              <w:spacing w:after="0"/>
              <w:rPr>
                <w:sz w:val="24"/>
                <w:szCs w:val="24"/>
                <w:color w:val="auto"/>
              </w:rPr>
            </w:pPr>
          </w:p>
        </w:tc>
        <w:tc>
          <w:tcPr>
            <w:tcW w:w="328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440" w:type="dxa"/>
            <w:vAlign w:val="bottom"/>
            <w:gridSpan w:val="5"/>
          </w:tcPr>
          <w:p>
            <w:pPr>
              <w:spacing w:after="0"/>
              <w:rPr>
                <w:sz w:val="20"/>
                <w:szCs w:val="20"/>
                <w:color w:val="auto"/>
              </w:rPr>
            </w:pPr>
            <w:r>
              <w:rPr>
                <w:rFonts w:ascii="Arial" w:cs="Arial" w:eastAsia="Arial" w:hAnsi="Arial"/>
                <w:sz w:val="18"/>
                <w:szCs w:val="18"/>
                <w:color w:val="auto"/>
              </w:rPr>
              <w:t>Corporate expense, net (1)</w:t>
            </w: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(224.3)</w:t>
            </w:r>
          </w:p>
        </w:tc>
        <w:tc>
          <w:tcPr>
            <w:tcW w:w="0" w:type="dxa"/>
            <w:vAlign w:val="bottom"/>
          </w:tcPr>
          <w:p>
            <w:pPr>
              <w:spacing w:after="0"/>
              <w:rPr>
                <w:sz w:val="1"/>
                <w:szCs w:val="1"/>
                <w:color w:val="auto"/>
              </w:rPr>
            </w:pPr>
          </w:p>
        </w:tc>
      </w:tr>
      <w:tr>
        <w:trPr>
          <w:trHeight w:val="270"/>
        </w:trPr>
        <w:tc>
          <w:tcPr>
            <w:tcW w:w="4440" w:type="dxa"/>
            <w:vAlign w:val="bottom"/>
            <w:gridSpan w:val="5"/>
          </w:tcPr>
          <w:p>
            <w:pPr>
              <w:spacing w:after="0"/>
              <w:rPr>
                <w:sz w:val="20"/>
                <w:szCs w:val="20"/>
                <w:color w:val="auto"/>
              </w:rPr>
            </w:pPr>
            <w:r>
              <w:rPr>
                <w:rFonts w:ascii="Arial" w:cs="Arial" w:eastAsia="Arial" w:hAnsi="Arial"/>
                <w:sz w:val="18"/>
                <w:szCs w:val="18"/>
                <w:color w:val="auto"/>
              </w:rPr>
              <w:t>Net interest expense</w:t>
            </w:r>
          </w:p>
        </w:tc>
        <w:tc>
          <w:tcPr>
            <w:tcW w:w="2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(86.3)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(244.3)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(240.5)</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40" w:type="dxa"/>
            <w:vAlign w:val="bottom"/>
            <w:gridSpan w:val="5"/>
          </w:tcPr>
          <w:p>
            <w:pPr>
              <w:spacing w:after="0"/>
              <w:rPr>
                <w:sz w:val="20"/>
                <w:szCs w:val="20"/>
                <w:color w:val="auto"/>
              </w:rPr>
            </w:pPr>
            <w:r>
              <w:rPr>
                <w:rFonts w:ascii="Arial" w:cs="Arial" w:eastAsia="Arial" w:hAnsi="Arial"/>
                <w:sz w:val="18"/>
                <w:szCs w:val="18"/>
                <w:color w:val="auto"/>
              </w:rPr>
              <w:t>Total corporate items</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(174.1)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(128.6)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(445.2)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(464.8)</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41"/>
        </w:trPr>
        <w:tc>
          <w:tcPr>
            <w:tcW w:w="4440" w:type="dxa"/>
            <w:vAlign w:val="bottom"/>
            <w:gridSpan w:val="5"/>
          </w:tcPr>
          <w:p>
            <w:pPr>
              <w:spacing w:after="0"/>
              <w:rPr>
                <w:sz w:val="20"/>
                <w:szCs w:val="20"/>
                <w:color w:val="auto"/>
              </w:rPr>
            </w:pPr>
            <w:r>
              <w:rPr>
                <w:rFonts w:ascii="Arial" w:cs="Arial" w:eastAsia="Arial" w:hAnsi="Arial"/>
                <w:sz w:val="18"/>
                <w:szCs w:val="18"/>
                <w:color w:val="auto"/>
              </w:rPr>
              <w:t>Net Income before income taxes (2)</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229.6</w:t>
            </w:r>
          </w:p>
        </w:tc>
        <w:tc>
          <w:tcPr>
            <w:tcW w:w="100" w:type="dxa"/>
            <w:vAlign w:val="bottom"/>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516.4</w:t>
            </w:r>
          </w:p>
        </w:tc>
        <w:tc>
          <w:tcPr>
            <w:tcW w:w="100" w:type="dxa"/>
            <w:vAlign w:val="bottom"/>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511.4</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32" w:hanging="332"/>
        <w:spacing w:after="0" w:line="277" w:lineRule="auto"/>
        <w:tabs>
          <w:tab w:leader="none" w:pos="332"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Corporate expense, net primarily includes corporate staff expenses, stock-based compensation expenses, other employee benefits, certain foreign exchange gains and losses, and merger-related transaction expenses.</w:t>
      </w:r>
    </w:p>
    <w:p>
      <w:pPr>
        <w:spacing w:after="0" w:line="116" w:lineRule="exact"/>
        <w:rPr>
          <w:rFonts w:ascii="Arial" w:cs="Arial" w:eastAsia="Arial" w:hAnsi="Arial"/>
          <w:sz w:val="18"/>
          <w:szCs w:val="18"/>
          <w:color w:val="auto"/>
        </w:rPr>
      </w:pPr>
    </w:p>
    <w:p>
      <w:pPr>
        <w:ind w:left="332" w:hanging="332"/>
        <w:spacing w:after="0"/>
        <w:tabs>
          <w:tab w:leader="none" w:pos="332"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amounts attributable to noncontrolling interests.</w:t>
      </w:r>
    </w:p>
    <w:p>
      <w:pPr>
        <w:sectPr>
          <w:pgSz w:w="11900" w:h="16838" w:orient="portrait"/>
          <w:cols w:equalWidth="0" w:num="1">
            <w:col w:w="10772"/>
          </w:cols>
          <w:pgMar w:left="248" w:top="526" w:right="879" w:bottom="1440" w:gutter="0" w:footer="0" w:header="0"/>
        </w:sectPr>
      </w:pPr>
    </w:p>
    <w:bookmarkStart w:id="20" w:name="page21"/>
    <w:bookmarkEnd w:id="20"/>
    <w:p>
      <w:pPr>
        <w:jc w:val="center"/>
        <w:ind w:right="-1091"/>
        <w:spacing w:after="0"/>
        <w:rPr>
          <w:sz w:val="20"/>
          <w:szCs w:val="20"/>
          <w:color w:val="auto"/>
        </w:rPr>
      </w:pPr>
      <w:r>
        <w:rPr>
          <w:rFonts w:ascii="Arial" w:cs="Arial" w:eastAsia="Arial" w:hAnsi="Arial"/>
          <w:sz w:val="18"/>
          <w:szCs w:val="18"/>
          <w:b w:val="1"/>
          <w:bCs w:val="1"/>
          <w:u w:val="single" w:color="auto"/>
          <w:color w:val="auto"/>
        </w:rPr>
        <w:t>TECHNIPFMC PLC AND CONSOLIDATED SUBSIDIARIES</w:t>
      </w:r>
    </w:p>
    <w:p>
      <w:pPr>
        <w:spacing w:after="0" w:line="27" w:lineRule="exact"/>
        <w:rPr>
          <w:sz w:val="20"/>
          <w:szCs w:val="20"/>
          <w:color w:val="auto"/>
        </w:rPr>
      </w:pPr>
    </w:p>
    <w:p>
      <w:pPr>
        <w:jc w:val="center"/>
        <w:ind w:right="-1091"/>
        <w:spacing w:after="0"/>
        <w:rPr>
          <w:sz w:val="20"/>
          <w:szCs w:val="20"/>
          <w:color w:val="auto"/>
        </w:rPr>
      </w:pPr>
      <w:r>
        <w:rPr>
          <w:rFonts w:ascii="Arial" w:cs="Arial" w:eastAsia="Arial" w:hAnsi="Arial"/>
          <w:sz w:val="18"/>
          <w:szCs w:val="18"/>
          <w:b w:val="1"/>
          <w:bCs w:val="1"/>
          <w:u w:val="single" w:color="auto"/>
          <w:color w:val="auto"/>
        </w:rPr>
        <w:t>BUSINESS SEGMENT DATA</w:t>
      </w:r>
    </w:p>
    <w:p>
      <w:pPr>
        <w:spacing w:after="0" w:line="9" w:lineRule="exact"/>
        <w:rPr>
          <w:sz w:val="20"/>
          <w:szCs w:val="20"/>
          <w:color w:val="auto"/>
        </w:rPr>
      </w:pPr>
    </w:p>
    <w:p>
      <w:pPr>
        <w:jc w:val="center"/>
        <w:ind w:right="-1091"/>
        <w:spacing w:after="0"/>
        <w:rPr>
          <w:sz w:val="20"/>
          <w:szCs w:val="20"/>
          <w:color w:val="auto"/>
        </w:rPr>
      </w:pPr>
      <w:r>
        <w:rPr>
          <w:rFonts w:ascii="Arial" w:cs="Arial" w:eastAsia="Arial" w:hAnsi="Arial"/>
          <w:sz w:val="18"/>
          <w:szCs w:val="18"/>
          <w:b w:val="1"/>
          <w:bCs w:val="1"/>
          <w:color w:val="auto"/>
        </w:rPr>
        <w:t>(In millions, unaudited)</w:t>
      </w:r>
    </w:p>
    <w:p>
      <w:pPr>
        <w:spacing w:after="0" w:line="369" w:lineRule="exact"/>
        <w:rPr>
          <w:sz w:val="20"/>
          <w:szCs w:val="20"/>
          <w:color w:val="auto"/>
        </w:rPr>
      </w:pPr>
    </w:p>
    <w:tbl>
      <w:tblPr>
        <w:tblLayout w:type="fixed"/>
        <w:tblInd w:w="1152" w:type="dxa"/>
        <w:tblCellMar>
          <w:top w:w="0" w:type="dxa"/>
          <w:left w:w="0" w:type="dxa"/>
          <w:bottom w:w="0" w:type="dxa"/>
          <w:right w:w="0" w:type="dxa"/>
        </w:tblCellMar>
      </w:tblPr>
      <w:tr>
        <w:trPr>
          <w:trHeight w:val="234"/>
        </w:trPr>
        <w:tc>
          <w:tcPr>
            <w:tcW w:w="15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4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2"/>
              </w:rPr>
              <w:t>Three Months Ended</w:t>
            </w:r>
          </w:p>
        </w:tc>
        <w:tc>
          <w:tcPr>
            <w:tcW w:w="220" w:type="dxa"/>
            <w:vAlign w:val="bottom"/>
          </w:tcPr>
          <w:p>
            <w:pPr>
              <w:spacing w:after="0"/>
              <w:rPr>
                <w:sz w:val="20"/>
                <w:szCs w:val="20"/>
                <w:color w:val="auto"/>
              </w:rPr>
            </w:pPr>
          </w:p>
        </w:tc>
        <w:tc>
          <w:tcPr>
            <w:tcW w:w="202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w w:val="98"/>
              </w:rPr>
              <w:t>Nine Months Ended</w:t>
            </w:r>
          </w:p>
        </w:tc>
      </w:tr>
      <w:tr>
        <w:trPr>
          <w:trHeight w:val="230"/>
        </w:trPr>
        <w:tc>
          <w:tcPr>
            <w:tcW w:w="4540" w:type="dxa"/>
            <w:vAlign w:val="bottom"/>
            <w:gridSpan w:val="2"/>
          </w:tcPr>
          <w:p>
            <w:pPr>
              <w:spacing w:after="0"/>
              <w:rPr>
                <w:sz w:val="20"/>
                <w:szCs w:val="20"/>
                <w:color w:val="auto"/>
              </w:rPr>
            </w:pPr>
            <w:r>
              <w:rPr>
                <w:rFonts w:ascii="Arial" w:cs="Arial" w:eastAsia="Arial" w:hAnsi="Arial"/>
                <w:sz w:val="18"/>
                <w:szCs w:val="18"/>
                <w:b w:val="1"/>
                <w:bCs w:val="1"/>
                <w:color w:val="auto"/>
              </w:rPr>
              <w:t>Inbound Orders (1)</w:t>
            </w:r>
          </w:p>
        </w:tc>
        <w:tc>
          <w:tcPr>
            <w:tcW w:w="220" w:type="dxa"/>
            <w:vAlign w:val="bottom"/>
          </w:tcPr>
          <w:p>
            <w:pPr>
              <w:spacing w:after="0"/>
              <w:rPr>
                <w:sz w:val="19"/>
                <w:szCs w:val="19"/>
                <w:color w:val="auto"/>
              </w:rPr>
            </w:pPr>
          </w:p>
        </w:tc>
        <w:tc>
          <w:tcPr>
            <w:tcW w:w="214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c>
          <w:tcPr>
            <w:tcW w:w="220" w:type="dxa"/>
            <w:vAlign w:val="bottom"/>
          </w:tcPr>
          <w:p>
            <w:pPr>
              <w:spacing w:after="0"/>
              <w:rPr>
                <w:sz w:val="19"/>
                <w:szCs w:val="19"/>
                <w:color w:val="auto"/>
              </w:rPr>
            </w:pPr>
          </w:p>
        </w:tc>
        <w:tc>
          <w:tcPr>
            <w:tcW w:w="202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September 30,</w:t>
            </w:r>
          </w:p>
        </w:tc>
      </w:tr>
      <w:tr>
        <w:trPr>
          <w:trHeight w:val="48"/>
        </w:trPr>
        <w:tc>
          <w:tcPr>
            <w:tcW w:w="1520" w:type="dxa"/>
            <w:vAlign w:val="bottom"/>
            <w:tcBorders>
              <w:top w:val="single" w:sz="8" w:color="auto"/>
            </w:tcBorders>
          </w:tcPr>
          <w:p>
            <w:pPr>
              <w:spacing w:after="0"/>
              <w:rPr>
                <w:sz w:val="4"/>
                <w:szCs w:val="4"/>
                <w:color w:val="auto"/>
              </w:rPr>
            </w:pPr>
          </w:p>
        </w:tc>
        <w:tc>
          <w:tcPr>
            <w:tcW w:w="30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237"/>
        </w:trPr>
        <w:tc>
          <w:tcPr>
            <w:tcW w:w="15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r>
      <w:tr>
        <w:trPr>
          <w:trHeight w:val="27"/>
        </w:trPr>
        <w:tc>
          <w:tcPr>
            <w:tcW w:w="15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520"/>
        </w:trPr>
        <w:tc>
          <w:tcPr>
            <w:tcW w:w="4540" w:type="dxa"/>
            <w:vAlign w:val="bottom"/>
            <w:gridSpan w:val="2"/>
          </w:tcPr>
          <w:p>
            <w:pPr>
              <w:spacing w:after="0"/>
              <w:rPr>
                <w:sz w:val="20"/>
                <w:szCs w:val="20"/>
                <w:color w:val="auto"/>
              </w:rPr>
            </w:pPr>
            <w:r>
              <w:rPr>
                <w:rFonts w:ascii="Arial" w:cs="Arial" w:eastAsia="Arial" w:hAnsi="Arial"/>
                <w:sz w:val="18"/>
                <w:szCs w:val="18"/>
                <w:color w:val="auto"/>
              </w:rPr>
              <w:t>Subsea</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1,553.9</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979.8</w:t>
            </w:r>
          </w:p>
        </w:tc>
        <w:tc>
          <w:tcPr>
            <w:tcW w:w="12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4,297.9</w:t>
            </w:r>
          </w:p>
        </w:tc>
        <w:tc>
          <w:tcPr>
            <w:tcW w:w="12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3,418.8</w:t>
            </w:r>
          </w:p>
        </w:tc>
      </w:tr>
      <w:tr>
        <w:trPr>
          <w:trHeight w:val="270"/>
        </w:trPr>
        <w:tc>
          <w:tcPr>
            <w:tcW w:w="4540" w:type="dxa"/>
            <w:vAlign w:val="bottom"/>
            <w:gridSpan w:val="2"/>
          </w:tcPr>
          <w:p>
            <w:pPr>
              <w:spacing w:after="0"/>
              <w:rPr>
                <w:sz w:val="20"/>
                <w:szCs w:val="20"/>
                <w:color w:val="auto"/>
              </w:rPr>
            </w:pPr>
            <w:r>
              <w:rPr>
                <w:rFonts w:ascii="Arial" w:cs="Arial" w:eastAsia="Arial" w:hAnsi="Arial"/>
                <w:sz w:val="18"/>
                <w:szCs w:val="18"/>
                <w:color w:val="auto"/>
              </w:rPr>
              <w:t>Onshore/Offshore</w:t>
            </w: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1,666.1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1,153.0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5,816.5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2,938.7</w:t>
            </w:r>
          </w:p>
        </w:tc>
      </w:tr>
      <w:tr>
        <w:trPr>
          <w:trHeight w:val="270"/>
        </w:trPr>
        <w:tc>
          <w:tcPr>
            <w:tcW w:w="4540" w:type="dxa"/>
            <w:vAlign w:val="bottom"/>
            <w:gridSpan w:val="2"/>
          </w:tcPr>
          <w:p>
            <w:pPr>
              <w:spacing w:after="0"/>
              <w:rPr>
                <w:sz w:val="20"/>
                <w:szCs w:val="20"/>
                <w:color w:val="auto"/>
              </w:rPr>
            </w:pPr>
            <w:r>
              <w:rPr>
                <w:rFonts w:ascii="Arial" w:cs="Arial" w:eastAsia="Arial" w:hAnsi="Arial"/>
                <w:sz w:val="18"/>
                <w:szCs w:val="18"/>
                <w:color w:val="auto"/>
              </w:rPr>
              <w:t>Surface Technologies</w:t>
            </w: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427.2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329.1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1,251.5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846.9</w:t>
            </w:r>
          </w:p>
        </w:tc>
      </w:tr>
      <w:tr>
        <w:trPr>
          <w:trHeight w:val="27"/>
        </w:trPr>
        <w:tc>
          <w:tcPr>
            <w:tcW w:w="15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4540" w:type="dxa"/>
            <w:vAlign w:val="bottom"/>
            <w:gridSpan w:val="2"/>
          </w:tcPr>
          <w:p>
            <w:pPr>
              <w:spacing w:after="0"/>
              <w:rPr>
                <w:sz w:val="20"/>
                <w:szCs w:val="20"/>
                <w:color w:val="auto"/>
              </w:rPr>
            </w:pPr>
            <w:r>
              <w:rPr>
                <w:rFonts w:ascii="Arial" w:cs="Arial" w:eastAsia="Arial" w:hAnsi="Arial"/>
                <w:sz w:val="18"/>
                <w:szCs w:val="18"/>
                <w:color w:val="auto"/>
              </w:rPr>
              <w:t>Total inbound orders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3,647.2</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2,461.9</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11,365.9</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7,204.4</w:t>
            </w:r>
          </w:p>
        </w:tc>
      </w:tr>
      <w:tr>
        <w:trPr>
          <w:trHeight w:val="20"/>
        </w:trPr>
        <w:tc>
          <w:tcPr>
            <w:tcW w:w="15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347" w:lineRule="exact"/>
        <w:rPr>
          <w:sz w:val="20"/>
          <w:szCs w:val="20"/>
          <w:color w:val="auto"/>
        </w:rPr>
      </w:pPr>
    </w:p>
    <w:tbl>
      <w:tblPr>
        <w:tblLayout w:type="fixed"/>
        <w:tblInd w:w="1132" w:type="dxa"/>
        <w:tblCellMar>
          <w:top w:w="0" w:type="dxa"/>
          <w:left w:w="0" w:type="dxa"/>
          <w:bottom w:w="0" w:type="dxa"/>
          <w:right w:w="0" w:type="dxa"/>
        </w:tblCellMar>
      </w:tblPr>
      <w:tr>
        <w:trPr>
          <w:trHeight w:val="207"/>
        </w:trPr>
        <w:tc>
          <w:tcPr>
            <w:tcW w:w="6940" w:type="dxa"/>
            <w:vAlign w:val="bottom"/>
            <w:gridSpan w:val="2"/>
          </w:tcPr>
          <w:p>
            <w:pPr>
              <w:spacing w:after="0"/>
              <w:rPr>
                <w:sz w:val="20"/>
                <w:szCs w:val="20"/>
                <w:color w:val="auto"/>
              </w:rPr>
            </w:pPr>
            <w:r>
              <w:rPr>
                <w:rFonts w:ascii="Arial" w:cs="Arial" w:eastAsia="Arial" w:hAnsi="Arial"/>
                <w:sz w:val="18"/>
                <w:szCs w:val="18"/>
                <w:b w:val="1"/>
                <w:bCs w:val="1"/>
                <w:color w:val="auto"/>
              </w:rPr>
              <w:t>Order Backlog (2)</w:t>
            </w:r>
          </w:p>
        </w:tc>
        <w:tc>
          <w:tcPr>
            <w:tcW w:w="220" w:type="dxa"/>
            <w:vAlign w:val="bottom"/>
          </w:tcPr>
          <w:p>
            <w:pPr>
              <w:spacing w:after="0"/>
              <w:rPr>
                <w:sz w:val="17"/>
                <w:szCs w:val="17"/>
                <w:color w:val="auto"/>
              </w:rPr>
            </w:pPr>
          </w:p>
        </w:tc>
        <w:tc>
          <w:tcPr>
            <w:tcW w:w="202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September 30,</w:t>
            </w:r>
          </w:p>
        </w:tc>
      </w:tr>
      <w:tr>
        <w:trPr>
          <w:trHeight w:val="48"/>
        </w:trPr>
        <w:tc>
          <w:tcPr>
            <w:tcW w:w="1400" w:type="dxa"/>
            <w:vAlign w:val="bottom"/>
            <w:tcBorders>
              <w:top w:val="single" w:sz="8" w:color="auto"/>
            </w:tcBorders>
          </w:tcPr>
          <w:p>
            <w:pPr>
              <w:spacing w:after="0"/>
              <w:rPr>
                <w:sz w:val="4"/>
                <w:szCs w:val="4"/>
                <w:color w:val="auto"/>
              </w:rPr>
            </w:pPr>
          </w:p>
        </w:tc>
        <w:tc>
          <w:tcPr>
            <w:tcW w:w="554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237"/>
        </w:trPr>
        <w:tc>
          <w:tcPr>
            <w:tcW w:w="140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r>
      <w:tr>
        <w:trPr>
          <w:trHeight w:val="27"/>
        </w:trPr>
        <w:tc>
          <w:tcPr>
            <w:tcW w:w="1400" w:type="dxa"/>
            <w:vAlign w:val="bottom"/>
          </w:tcPr>
          <w:p>
            <w:pPr>
              <w:spacing w:after="0"/>
              <w:rPr>
                <w:sz w:val="2"/>
                <w:szCs w:val="2"/>
                <w:color w:val="auto"/>
              </w:rPr>
            </w:pPr>
          </w:p>
        </w:tc>
        <w:tc>
          <w:tcPr>
            <w:tcW w:w="5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520"/>
        </w:trPr>
        <w:tc>
          <w:tcPr>
            <w:tcW w:w="6940" w:type="dxa"/>
            <w:vAlign w:val="bottom"/>
            <w:gridSpan w:val="2"/>
          </w:tcPr>
          <w:p>
            <w:pPr>
              <w:spacing w:after="0"/>
              <w:rPr>
                <w:sz w:val="20"/>
                <w:szCs w:val="20"/>
                <w:color w:val="auto"/>
              </w:rPr>
            </w:pPr>
            <w:r>
              <w:rPr>
                <w:rFonts w:ascii="Arial" w:cs="Arial" w:eastAsia="Arial" w:hAnsi="Arial"/>
                <w:sz w:val="18"/>
                <w:szCs w:val="18"/>
                <w:color w:val="auto"/>
              </w:rPr>
              <w:t>Subsea</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6,343.4</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5,948.9</w:t>
            </w:r>
          </w:p>
        </w:tc>
      </w:tr>
      <w:tr>
        <w:trPr>
          <w:trHeight w:val="270"/>
        </w:trPr>
        <w:tc>
          <w:tcPr>
            <w:tcW w:w="6940" w:type="dxa"/>
            <w:vAlign w:val="bottom"/>
            <w:gridSpan w:val="2"/>
          </w:tcPr>
          <w:p>
            <w:pPr>
              <w:spacing w:after="0"/>
              <w:rPr>
                <w:sz w:val="20"/>
                <w:szCs w:val="20"/>
                <w:color w:val="auto"/>
              </w:rPr>
            </w:pPr>
            <w:r>
              <w:rPr>
                <w:rFonts w:ascii="Arial" w:cs="Arial" w:eastAsia="Arial" w:hAnsi="Arial"/>
                <w:sz w:val="18"/>
                <w:szCs w:val="18"/>
                <w:color w:val="auto"/>
              </w:rPr>
              <w:t>Onshore/Offshore</w:t>
            </w: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8,378.8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7,559.3</w:t>
            </w:r>
          </w:p>
        </w:tc>
      </w:tr>
      <w:tr>
        <w:trPr>
          <w:trHeight w:val="270"/>
        </w:trPr>
        <w:tc>
          <w:tcPr>
            <w:tcW w:w="6940" w:type="dxa"/>
            <w:vAlign w:val="bottom"/>
            <w:gridSpan w:val="2"/>
          </w:tcPr>
          <w:p>
            <w:pPr>
              <w:spacing w:after="0"/>
              <w:rPr>
                <w:sz w:val="20"/>
                <w:szCs w:val="20"/>
                <w:color w:val="auto"/>
              </w:rPr>
            </w:pPr>
            <w:r>
              <w:rPr>
                <w:rFonts w:ascii="Arial" w:cs="Arial" w:eastAsia="Arial" w:hAnsi="Arial"/>
                <w:sz w:val="18"/>
                <w:szCs w:val="18"/>
                <w:color w:val="auto"/>
              </w:rPr>
              <w:t>Surface Technologies</w:t>
            </w: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455.8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394.2</w:t>
            </w:r>
          </w:p>
        </w:tc>
      </w:tr>
      <w:tr>
        <w:trPr>
          <w:trHeight w:val="27"/>
        </w:trPr>
        <w:tc>
          <w:tcPr>
            <w:tcW w:w="1400" w:type="dxa"/>
            <w:vAlign w:val="bottom"/>
          </w:tcPr>
          <w:p>
            <w:pPr>
              <w:spacing w:after="0"/>
              <w:rPr>
                <w:sz w:val="2"/>
                <w:szCs w:val="2"/>
                <w:color w:val="auto"/>
              </w:rPr>
            </w:pPr>
          </w:p>
        </w:tc>
        <w:tc>
          <w:tcPr>
            <w:tcW w:w="5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6940" w:type="dxa"/>
            <w:vAlign w:val="bottom"/>
            <w:gridSpan w:val="2"/>
          </w:tcPr>
          <w:p>
            <w:pPr>
              <w:spacing w:after="0"/>
              <w:rPr>
                <w:sz w:val="20"/>
                <w:szCs w:val="20"/>
                <w:color w:val="auto"/>
              </w:rPr>
            </w:pPr>
            <w:r>
              <w:rPr>
                <w:rFonts w:ascii="Arial" w:cs="Arial" w:eastAsia="Arial" w:hAnsi="Arial"/>
                <w:sz w:val="18"/>
                <w:szCs w:val="18"/>
                <w:color w:val="auto"/>
              </w:rPr>
              <w:t>Total order backlog</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15,178.0</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13,902.4</w:t>
            </w:r>
          </w:p>
        </w:tc>
      </w:tr>
      <w:tr>
        <w:trPr>
          <w:trHeight w:val="20"/>
        </w:trPr>
        <w:tc>
          <w:tcPr>
            <w:tcW w:w="140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32" w:hanging="332"/>
        <w:spacing w:after="0"/>
        <w:tabs>
          <w:tab w:leader="none" w:pos="332"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Inbound orders represent the estimated sales value of confirmed customer orders received during the reporting period.</w:t>
      </w:r>
    </w:p>
    <w:p>
      <w:pPr>
        <w:spacing w:after="0" w:line="171" w:lineRule="exact"/>
        <w:rPr>
          <w:rFonts w:ascii="Arial" w:cs="Arial" w:eastAsia="Arial" w:hAnsi="Arial"/>
          <w:sz w:val="18"/>
          <w:szCs w:val="18"/>
          <w:color w:val="auto"/>
        </w:rPr>
      </w:pPr>
    </w:p>
    <w:p>
      <w:pPr>
        <w:ind w:left="332" w:hanging="332"/>
        <w:spacing w:after="0"/>
        <w:tabs>
          <w:tab w:leader="none" w:pos="332" w:val="left"/>
        </w:tabs>
        <w:numPr>
          <w:ilvl w:val="0"/>
          <w:numId w:val="17"/>
        </w:numPr>
        <w:rPr>
          <w:rFonts w:ascii="Arial" w:cs="Arial" w:eastAsia="Arial" w:hAnsi="Arial"/>
          <w:sz w:val="18"/>
          <w:szCs w:val="18"/>
          <w:color w:val="auto"/>
        </w:rPr>
      </w:pPr>
      <w:r>
        <w:rPr>
          <w:rFonts w:ascii="Arial" w:cs="Arial" w:eastAsia="Arial" w:hAnsi="Arial"/>
          <w:sz w:val="18"/>
          <w:szCs w:val="18"/>
          <w:color w:val="auto"/>
        </w:rPr>
        <w:t>Order backlog is calculated as the estimated sales value of unfilled, confirmed customer orders at the reporting date.</w:t>
      </w:r>
    </w:p>
    <w:p>
      <w:pPr>
        <w:sectPr>
          <w:pgSz w:w="11900" w:h="16838" w:orient="portrait"/>
          <w:cols w:equalWidth="0" w:num="1">
            <w:col w:w="10312"/>
          </w:cols>
          <w:pgMar w:left="248" w:top="526" w:right="1339" w:bottom="1440" w:gutter="0" w:footer="0" w:header="0"/>
        </w:sectPr>
      </w:pPr>
    </w:p>
    <w:bookmarkStart w:id="21" w:name="page22"/>
    <w:bookmarkEnd w:id="21"/>
    <w:p>
      <w:pPr>
        <w:jc w:val="center"/>
        <w:ind w:right="20"/>
        <w:spacing w:after="0" w:line="266" w:lineRule="auto"/>
        <w:rPr>
          <w:sz w:val="20"/>
          <w:szCs w:val="20"/>
          <w:color w:val="auto"/>
        </w:rPr>
      </w:pPr>
      <w:r>
        <w:rPr>
          <w:rFonts w:ascii="Arial" w:cs="Arial" w:eastAsia="Arial" w:hAnsi="Arial"/>
          <w:sz w:val="18"/>
          <w:szCs w:val="18"/>
          <w:b w:val="1"/>
          <w:bCs w:val="1"/>
          <w:u w:val="single" w:color="auto"/>
          <w:color w:val="auto"/>
        </w:rPr>
        <w:t xml:space="preserve">TECHNIPFMC PLC AND CONSOLIDATED SUBSIDIARIES CONDENSED CONSOLIDATED BALANCE SHEETS </w:t>
      </w:r>
      <w:r>
        <w:rPr>
          <w:rFonts w:ascii="Arial" w:cs="Arial" w:eastAsia="Arial" w:hAnsi="Arial"/>
          <w:sz w:val="18"/>
          <w:szCs w:val="18"/>
          <w:b w:val="1"/>
          <w:bCs w:val="1"/>
          <w:color w:val="auto"/>
        </w:rPr>
        <w:t>(In 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b w:val="1"/>
                <w:bCs w:val="1"/>
                <w:color w:val="auto"/>
              </w:rPr>
              <w:t>(Unaudited)</w:t>
            </w:r>
          </w:p>
        </w:tc>
        <w:tc>
          <w:tcPr>
            <w:tcW w:w="820" w:type="dxa"/>
            <w:vAlign w:val="bottom"/>
          </w:tcPr>
          <w:p>
            <w:pPr>
              <w:spacing w:after="0"/>
              <w:rPr>
                <w:sz w:val="20"/>
                <w:szCs w:val="20"/>
                <w:color w:val="auto"/>
              </w:rPr>
            </w:pPr>
          </w:p>
        </w:tc>
      </w:tr>
      <w:tr>
        <w:trPr>
          <w:trHeight w:val="27"/>
        </w:trPr>
        <w:tc>
          <w:tcPr>
            <w:tcW w:w="6580" w:type="dxa"/>
            <w:vAlign w:val="bottom"/>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r>
      <w:tr>
        <w:trPr>
          <w:trHeight w:val="218"/>
        </w:trPr>
        <w:tc>
          <w:tcPr>
            <w:tcW w:w="6580" w:type="dxa"/>
            <w:vAlign w:val="bottom"/>
          </w:tcPr>
          <w:p>
            <w:pPr>
              <w:spacing w:after="0"/>
              <w:rPr>
                <w:sz w:val="18"/>
                <w:szCs w:val="18"/>
                <w:color w:val="auto"/>
              </w:rPr>
            </w:pP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rPr>
              <w:t>September 30,</w:t>
            </w:r>
          </w:p>
        </w:tc>
        <w:tc>
          <w:tcPr>
            <w:tcW w:w="12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6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370"/>
              <w:spacing w:after="0"/>
              <w:rPr>
                <w:sz w:val="20"/>
                <w:szCs w:val="20"/>
                <w:color w:val="auto"/>
              </w:rPr>
            </w:pPr>
            <w:r>
              <w:rPr>
                <w:rFonts w:ascii="Arial" w:cs="Arial" w:eastAsia="Arial" w:hAnsi="Arial"/>
                <w:sz w:val="18"/>
                <w:szCs w:val="18"/>
                <w:b w:val="1"/>
                <w:bCs w:val="1"/>
                <w:color w:val="auto"/>
                <w:w w:val="84"/>
              </w:rPr>
              <w:t>2017</w:t>
            </w:r>
          </w:p>
        </w:tc>
      </w:tr>
      <w:tr>
        <w:trPr>
          <w:trHeight w:val="27"/>
        </w:trPr>
        <w:tc>
          <w:tcPr>
            <w:tcW w:w="6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520"/>
        </w:trPr>
        <w:tc>
          <w:tcPr>
            <w:tcW w:w="65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5,553.3</w:t>
            </w:r>
          </w:p>
        </w:tc>
        <w:tc>
          <w:tcPr>
            <w:tcW w:w="120" w:type="dxa"/>
            <w:vAlign w:val="bottom"/>
          </w:tcPr>
          <w:p>
            <w:pPr>
              <w:spacing w:after="0"/>
              <w:rPr>
                <w:sz w:val="24"/>
                <w:szCs w:val="24"/>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6,737.4</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Trade receivables, net</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2,079.3</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1,484.4</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Contract assets</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1,394.6</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1,755.5</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Inventories, net</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1,171.0</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987.0</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Other current assets</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1,472.7</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2,012.8</w:t>
            </w:r>
          </w:p>
        </w:tc>
      </w:tr>
      <w:tr>
        <w:trPr>
          <w:trHeight w:val="27"/>
        </w:trPr>
        <w:tc>
          <w:tcPr>
            <w:tcW w:w="6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6580" w:type="dxa"/>
            <w:vAlign w:val="bottom"/>
          </w:tcPr>
          <w:p>
            <w:pPr>
              <w:ind w:left="260"/>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11,670.9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12,977.1</w:t>
            </w:r>
          </w:p>
        </w:tc>
      </w:tr>
      <w:tr>
        <w:trPr>
          <w:trHeight w:val="554"/>
        </w:trPr>
        <w:tc>
          <w:tcPr>
            <w:tcW w:w="658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3,670.5</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3,871.5</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9,003.4</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8,929.8</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Intangible assets, net</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1,223.1</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1,333.8</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1,199.8</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1,151.5</w:t>
            </w:r>
          </w:p>
        </w:tc>
      </w:tr>
      <w:tr>
        <w:trPr>
          <w:trHeight w:val="27"/>
        </w:trPr>
        <w:tc>
          <w:tcPr>
            <w:tcW w:w="6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6580" w:type="dxa"/>
            <w:vAlign w:val="bottom"/>
          </w:tcPr>
          <w:p>
            <w:pPr>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26,767.7</w:t>
            </w:r>
          </w:p>
        </w:tc>
        <w:tc>
          <w:tcPr>
            <w:tcW w:w="120" w:type="dxa"/>
            <w:vAlign w:val="bottom"/>
          </w:tcPr>
          <w:p>
            <w:pPr>
              <w:spacing w:after="0"/>
              <w:rPr>
                <w:sz w:val="22"/>
                <w:szCs w:val="22"/>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28,263.7</w:t>
            </w:r>
          </w:p>
        </w:tc>
      </w:tr>
      <w:tr>
        <w:trPr>
          <w:trHeight w:val="20"/>
        </w:trPr>
        <w:tc>
          <w:tcPr>
            <w:tcW w:w="6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514"/>
        </w:trPr>
        <w:tc>
          <w:tcPr>
            <w:tcW w:w="6580" w:type="dxa"/>
            <w:vAlign w:val="bottom"/>
          </w:tcPr>
          <w:p>
            <w:pPr>
              <w:spacing w:after="0"/>
              <w:rPr>
                <w:sz w:val="20"/>
                <w:szCs w:val="20"/>
                <w:color w:val="auto"/>
              </w:rPr>
            </w:pPr>
            <w:r>
              <w:rPr>
                <w:rFonts w:ascii="Arial" w:cs="Arial" w:eastAsia="Arial" w:hAnsi="Arial"/>
                <w:sz w:val="18"/>
                <w:szCs w:val="18"/>
                <w:color w:val="auto"/>
              </w:rPr>
              <w:t>Short-term debt and current portion of long-term debt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78.4</w:t>
            </w:r>
          </w:p>
        </w:tc>
        <w:tc>
          <w:tcPr>
            <w:tcW w:w="120" w:type="dxa"/>
            <w:vAlign w:val="bottom"/>
          </w:tcPr>
          <w:p>
            <w:pPr>
              <w:spacing w:after="0"/>
              <w:rPr>
                <w:sz w:val="24"/>
                <w:szCs w:val="24"/>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77.1</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Accounts payable, trade</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2,800.9</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3,958.7</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Contract liabilities</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3,819.6</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3,314.2</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2,111.6</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2,479.4</w:t>
            </w:r>
          </w:p>
        </w:tc>
      </w:tr>
      <w:tr>
        <w:trPr>
          <w:trHeight w:val="27"/>
        </w:trPr>
        <w:tc>
          <w:tcPr>
            <w:tcW w:w="6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6580" w:type="dxa"/>
            <w:vAlign w:val="bottom"/>
          </w:tcPr>
          <w:p>
            <w:pPr>
              <w:ind w:left="26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8,810.5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9,829.4</w:t>
            </w:r>
          </w:p>
        </w:tc>
      </w:tr>
      <w:tr>
        <w:trPr>
          <w:trHeight w:val="554"/>
        </w:trPr>
        <w:tc>
          <w:tcPr>
            <w:tcW w:w="658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4,017.1</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3,777.9</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Other liabilities</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1,076.1</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1,247.0</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Redeemable noncontrolling interest</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39.7</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TechnipFMC plc stockholders’ equity</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12,804.8</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13,387.9</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21.5</w:t>
            </w:r>
          </w:p>
        </w:tc>
      </w:tr>
      <w:tr>
        <w:trPr>
          <w:trHeight w:val="27"/>
        </w:trPr>
        <w:tc>
          <w:tcPr>
            <w:tcW w:w="6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6580" w:type="dxa"/>
            <w:vAlign w:val="bottom"/>
          </w:tcPr>
          <w:p>
            <w:pPr>
              <w:spacing w:after="0"/>
              <w:rPr>
                <w:sz w:val="20"/>
                <w:szCs w:val="20"/>
                <w:color w:val="auto"/>
              </w:rPr>
            </w:pPr>
            <w:r>
              <w:rPr>
                <w:rFonts w:ascii="Arial" w:cs="Arial" w:eastAsia="Arial" w:hAnsi="Arial"/>
                <w:sz w:val="18"/>
                <w:szCs w:val="18"/>
                <w:color w:val="auto"/>
              </w:rPr>
              <w:t>Total liabilities and equity</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26,767.7</w:t>
            </w:r>
          </w:p>
        </w:tc>
        <w:tc>
          <w:tcPr>
            <w:tcW w:w="120" w:type="dxa"/>
            <w:vAlign w:val="bottom"/>
          </w:tcPr>
          <w:p>
            <w:pPr>
              <w:spacing w:after="0"/>
              <w:rPr>
                <w:sz w:val="22"/>
                <w:szCs w:val="22"/>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28,263.7</w:t>
            </w:r>
          </w:p>
        </w:tc>
      </w:tr>
      <w:tr>
        <w:trPr>
          <w:trHeight w:val="20"/>
        </w:trPr>
        <w:tc>
          <w:tcPr>
            <w:tcW w:w="6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9180"/>
          </w:cols>
          <w:pgMar w:left="1380" w:top="526" w:right="1339" w:bottom="1440" w:gutter="0" w:footer="0" w:header="0"/>
        </w:sectPr>
      </w:pPr>
    </w:p>
    <w:bookmarkStart w:id="22" w:name="page23"/>
    <w:bookmarkEnd w:id="22"/>
    <w:p>
      <w:pPr>
        <w:jc w:val="center"/>
        <w:ind w:right="20"/>
        <w:spacing w:after="0" w:line="266" w:lineRule="auto"/>
        <w:rPr>
          <w:sz w:val="20"/>
          <w:szCs w:val="20"/>
          <w:color w:val="auto"/>
        </w:rPr>
      </w:pPr>
      <w:r>
        <w:rPr>
          <w:rFonts w:ascii="Arial" w:cs="Arial" w:eastAsia="Arial" w:hAnsi="Arial"/>
          <w:sz w:val="18"/>
          <w:szCs w:val="18"/>
          <w:b w:val="1"/>
          <w:bCs w:val="1"/>
          <w:u w:val="single" w:color="auto"/>
          <w:color w:val="auto"/>
        </w:rPr>
        <w:t xml:space="preserve">TECHNIPFMC PLC AND CONSOLIDATED SUBSIDIARIES CONDENSED CONSOLIDATED STATEMENTS OF CASH FLOWS </w:t>
      </w:r>
      <w:r>
        <w:rPr>
          <w:rFonts w:ascii="Arial" w:cs="Arial" w:eastAsia="Arial" w:hAnsi="Arial"/>
          <w:sz w:val="18"/>
          <w:szCs w:val="18"/>
          <w:b w:val="1"/>
          <w:bCs w:val="1"/>
          <w:color w:val="auto"/>
        </w:rPr>
        <w:t>(In millions)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gridSpan w:val="3"/>
          </w:tcPr>
          <w:p>
            <w:pPr>
              <w:jc w:val="center"/>
              <w:ind w:left="499"/>
              <w:spacing w:after="0"/>
              <w:rPr>
                <w:sz w:val="20"/>
                <w:szCs w:val="20"/>
                <w:color w:val="auto"/>
              </w:rPr>
            </w:pPr>
            <w:r>
              <w:rPr>
                <w:rFonts w:ascii="Arial" w:cs="Arial" w:eastAsia="Arial" w:hAnsi="Arial"/>
                <w:sz w:val="16"/>
                <w:szCs w:val="16"/>
                <w:b w:val="1"/>
                <w:bCs w:val="1"/>
                <w:color w:val="auto"/>
                <w:w w:val="94"/>
              </w:rPr>
              <w:t>(Unaudited)</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20" w:type="dxa"/>
            <w:vAlign w:val="bottom"/>
            <w:gridSpan w:val="4"/>
          </w:tcPr>
          <w:p>
            <w:pPr>
              <w:jc w:val="center"/>
              <w:ind w:right="199"/>
              <w:spacing w:after="0"/>
              <w:rPr>
                <w:sz w:val="20"/>
                <w:szCs w:val="20"/>
                <w:color w:val="auto"/>
              </w:rPr>
            </w:pPr>
            <w:r>
              <w:rPr>
                <w:rFonts w:ascii="Arial" w:cs="Arial" w:eastAsia="Arial" w:hAnsi="Arial"/>
                <w:sz w:val="16"/>
                <w:szCs w:val="16"/>
                <w:b w:val="1"/>
                <w:bCs w:val="1"/>
                <w:color w:val="auto"/>
                <w:w w:val="92"/>
              </w:rPr>
              <w:t>Nine Months Ended</w:t>
            </w:r>
          </w:p>
        </w:tc>
        <w:tc>
          <w:tcPr>
            <w:tcW w:w="0" w:type="dxa"/>
            <w:vAlign w:val="bottom"/>
          </w:tcPr>
          <w:p>
            <w:pPr>
              <w:spacing w:after="0"/>
              <w:rPr>
                <w:sz w:val="1"/>
                <w:szCs w:val="1"/>
                <w:color w:val="auto"/>
              </w:rPr>
            </w:pPr>
          </w:p>
        </w:tc>
      </w:tr>
      <w:tr>
        <w:trPr>
          <w:trHeight w:val="257"/>
        </w:trPr>
        <w:tc>
          <w:tcPr>
            <w:tcW w:w="6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80" w:type="dxa"/>
            <w:vAlign w:val="bottom"/>
            <w:gridSpan w:val="3"/>
          </w:tcPr>
          <w:p>
            <w:pPr>
              <w:jc w:val="center"/>
              <w:ind w:left="499"/>
              <w:spacing w:after="0"/>
              <w:rPr>
                <w:sz w:val="20"/>
                <w:szCs w:val="20"/>
                <w:color w:val="auto"/>
              </w:rPr>
            </w:pPr>
            <w:r>
              <w:rPr>
                <w:rFonts w:ascii="Arial" w:cs="Arial" w:eastAsia="Arial" w:hAnsi="Arial"/>
                <w:sz w:val="16"/>
                <w:szCs w:val="16"/>
                <w:b w:val="1"/>
                <w:bCs w:val="1"/>
                <w:color w:val="auto"/>
                <w:w w:val="91"/>
              </w:rPr>
              <w:t>September 30,</w:t>
            </w: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ind w:right="419"/>
              <w:spacing w:after="0"/>
              <w:rPr>
                <w:sz w:val="20"/>
                <w:szCs w:val="20"/>
                <w:color w:val="auto"/>
              </w:rPr>
            </w:pPr>
            <w:r>
              <w:rPr>
                <w:rFonts w:ascii="Arial" w:cs="Arial" w:eastAsia="Arial" w:hAnsi="Arial"/>
                <w:sz w:val="16"/>
                <w:szCs w:val="16"/>
                <w:b w:val="1"/>
                <w:bCs w:val="1"/>
                <w:color w:val="auto"/>
                <w:w w:val="89"/>
              </w:rPr>
              <w:t>2017</w:t>
            </w:r>
          </w:p>
        </w:tc>
        <w:tc>
          <w:tcPr>
            <w:tcW w:w="0" w:type="dxa"/>
            <w:vAlign w:val="bottom"/>
          </w:tcPr>
          <w:p>
            <w:pPr>
              <w:spacing w:after="0"/>
              <w:rPr>
                <w:sz w:val="1"/>
                <w:szCs w:val="1"/>
                <w:color w:val="auto"/>
              </w:rPr>
            </w:pPr>
          </w:p>
        </w:tc>
      </w:tr>
      <w:tr>
        <w:trPr>
          <w:trHeight w:val="33"/>
        </w:trPr>
        <w:tc>
          <w:tcPr>
            <w:tcW w:w="6520" w:type="dxa"/>
            <w:vAlign w:val="bottom"/>
            <w:vMerge w:val="restart"/>
          </w:tcPr>
          <w:p>
            <w:pPr>
              <w:spacing w:after="0"/>
              <w:rPr>
                <w:sz w:val="20"/>
                <w:szCs w:val="20"/>
                <w:color w:val="auto"/>
              </w:rPr>
            </w:pPr>
            <w:r>
              <w:rPr>
                <w:rFonts w:ascii="Arial" w:cs="Arial" w:eastAsia="Arial" w:hAnsi="Arial"/>
                <w:sz w:val="16"/>
                <w:szCs w:val="16"/>
                <w:color w:val="auto"/>
              </w:rPr>
              <w:t>Cash provided (required) by operating activities</w:t>
            </w: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5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52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335.7</w:t>
            </w:r>
          </w:p>
        </w:tc>
        <w:tc>
          <w:tcPr>
            <w:tcW w:w="100" w:type="dxa"/>
            <w:vAlign w:val="bottom"/>
          </w:tcPr>
          <w:p>
            <w:pPr>
              <w:spacing w:after="0"/>
              <w:rPr>
                <w:sz w:val="23"/>
                <w:szCs w:val="23"/>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261.7</w:t>
            </w:r>
          </w:p>
        </w:tc>
        <w:tc>
          <w:tcPr>
            <w:tcW w:w="0" w:type="dxa"/>
            <w:vAlign w:val="bottom"/>
          </w:tcPr>
          <w:p>
            <w:pPr>
              <w:spacing w:after="0"/>
              <w:rPr>
                <w:sz w:val="1"/>
                <w:szCs w:val="1"/>
                <w:color w:val="auto"/>
              </w:rPr>
            </w:pPr>
          </w:p>
        </w:tc>
      </w:tr>
      <w:tr>
        <w:trPr>
          <w:trHeight w:val="270"/>
        </w:trPr>
        <w:tc>
          <w:tcPr>
            <w:tcW w:w="6520" w:type="dxa"/>
            <w:vAlign w:val="bottom"/>
          </w:tcPr>
          <w:p>
            <w:pPr>
              <w:spacing w:after="0"/>
              <w:rPr>
                <w:sz w:val="20"/>
                <w:szCs w:val="20"/>
                <w:color w:val="auto"/>
              </w:rPr>
            </w:pPr>
            <w:r>
              <w:rPr>
                <w:rFonts w:ascii="Arial" w:cs="Arial" w:eastAsia="Arial" w:hAnsi="Arial"/>
                <w:sz w:val="16"/>
                <w:szCs w:val="16"/>
                <w:color w:val="auto"/>
                <w:w w:val="99"/>
              </w:rPr>
              <w:t>Adjustments to reconcile net income (loss) to cash provided (required) by operating activities</w:t>
            </w: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520" w:type="dxa"/>
            <w:vAlign w:val="bottom"/>
          </w:tcPr>
          <w:p>
            <w:pPr>
              <w:ind w:left="360"/>
              <w:spacing w:after="0"/>
              <w:rPr>
                <w:sz w:val="20"/>
                <w:szCs w:val="20"/>
                <w:color w:val="auto"/>
              </w:rPr>
            </w:pPr>
            <w:r>
              <w:rPr>
                <w:rFonts w:ascii="Arial" w:cs="Arial" w:eastAsia="Arial" w:hAnsi="Arial"/>
                <w:sz w:val="16"/>
                <w:szCs w:val="16"/>
                <w:color w:val="auto"/>
              </w:rPr>
              <w:t>Depreciation</w:t>
            </w:r>
          </w:p>
        </w:tc>
        <w:tc>
          <w:tcPr>
            <w:tcW w:w="28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276.3</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276.8</w:t>
            </w:r>
          </w:p>
        </w:tc>
        <w:tc>
          <w:tcPr>
            <w:tcW w:w="0" w:type="dxa"/>
            <w:vAlign w:val="bottom"/>
          </w:tcPr>
          <w:p>
            <w:pPr>
              <w:spacing w:after="0"/>
              <w:rPr>
                <w:sz w:val="1"/>
                <w:szCs w:val="1"/>
                <w:color w:val="auto"/>
              </w:rPr>
            </w:pPr>
          </w:p>
        </w:tc>
      </w:tr>
      <w:tr>
        <w:trPr>
          <w:trHeight w:val="270"/>
        </w:trPr>
        <w:tc>
          <w:tcPr>
            <w:tcW w:w="6520" w:type="dxa"/>
            <w:vAlign w:val="bottom"/>
          </w:tcPr>
          <w:p>
            <w:pPr>
              <w:ind w:left="360"/>
              <w:spacing w:after="0"/>
              <w:rPr>
                <w:sz w:val="20"/>
                <w:szCs w:val="20"/>
                <w:color w:val="auto"/>
              </w:rPr>
            </w:pPr>
            <w:r>
              <w:rPr>
                <w:rFonts w:ascii="Arial" w:cs="Arial" w:eastAsia="Arial" w:hAnsi="Arial"/>
                <w:sz w:val="16"/>
                <w:szCs w:val="16"/>
                <w:color w:val="auto"/>
              </w:rPr>
              <w:t>Amortization</w:t>
            </w:r>
          </w:p>
        </w:tc>
        <w:tc>
          <w:tcPr>
            <w:tcW w:w="28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136.2</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184.9</w:t>
            </w:r>
          </w:p>
        </w:tc>
        <w:tc>
          <w:tcPr>
            <w:tcW w:w="0" w:type="dxa"/>
            <w:vAlign w:val="bottom"/>
          </w:tcPr>
          <w:p>
            <w:pPr>
              <w:spacing w:after="0"/>
              <w:rPr>
                <w:sz w:val="1"/>
                <w:szCs w:val="1"/>
                <w:color w:val="auto"/>
              </w:rPr>
            </w:pPr>
          </w:p>
        </w:tc>
      </w:tr>
      <w:tr>
        <w:trPr>
          <w:trHeight w:val="270"/>
        </w:trPr>
        <w:tc>
          <w:tcPr>
            <w:tcW w:w="6520" w:type="dxa"/>
            <w:vAlign w:val="bottom"/>
          </w:tcPr>
          <w:p>
            <w:pPr>
              <w:ind w:left="360"/>
              <w:spacing w:after="0"/>
              <w:rPr>
                <w:sz w:val="20"/>
                <w:szCs w:val="20"/>
                <w:color w:val="auto"/>
              </w:rPr>
            </w:pPr>
            <w:r>
              <w:rPr>
                <w:rFonts w:ascii="Arial" w:cs="Arial" w:eastAsia="Arial" w:hAnsi="Arial"/>
                <w:sz w:val="16"/>
                <w:szCs w:val="16"/>
                <w:color w:val="auto"/>
              </w:rPr>
              <w:t>Employee benefit plan and share-based compensation costs</w:t>
            </w:r>
          </w:p>
        </w:tc>
        <w:tc>
          <w:tcPr>
            <w:tcW w:w="28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27.1</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30.5</w:t>
            </w:r>
          </w:p>
        </w:tc>
        <w:tc>
          <w:tcPr>
            <w:tcW w:w="0" w:type="dxa"/>
            <w:vAlign w:val="bottom"/>
          </w:tcPr>
          <w:p>
            <w:pPr>
              <w:spacing w:after="0"/>
              <w:rPr>
                <w:sz w:val="1"/>
                <w:szCs w:val="1"/>
                <w:color w:val="auto"/>
              </w:rPr>
            </w:pPr>
          </w:p>
        </w:tc>
      </w:tr>
      <w:tr>
        <w:trPr>
          <w:trHeight w:val="270"/>
        </w:trPr>
        <w:tc>
          <w:tcPr>
            <w:tcW w:w="6520" w:type="dxa"/>
            <w:vAlign w:val="bottom"/>
          </w:tcPr>
          <w:p>
            <w:pPr>
              <w:ind w:left="360"/>
              <w:spacing w:after="0"/>
              <w:rPr>
                <w:sz w:val="20"/>
                <w:szCs w:val="20"/>
                <w:color w:val="auto"/>
              </w:rPr>
            </w:pPr>
            <w:r>
              <w:rPr>
                <w:rFonts w:ascii="Arial" w:cs="Arial" w:eastAsia="Arial" w:hAnsi="Arial"/>
                <w:sz w:val="16"/>
                <w:szCs w:val="16"/>
                <w:color w:val="auto"/>
              </w:rPr>
              <w:t>Deferred income tax provision, net</w:t>
            </w: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(44.6)</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70"/>
        </w:trPr>
        <w:tc>
          <w:tcPr>
            <w:tcW w:w="6520" w:type="dxa"/>
            <w:vAlign w:val="bottom"/>
          </w:tcPr>
          <w:p>
            <w:pPr>
              <w:ind w:left="360"/>
              <w:spacing w:after="0"/>
              <w:rPr>
                <w:sz w:val="20"/>
                <w:szCs w:val="20"/>
                <w:color w:val="auto"/>
              </w:rPr>
            </w:pPr>
            <w:r>
              <w:rPr>
                <w:rFonts w:ascii="Arial" w:cs="Arial" w:eastAsia="Arial" w:hAnsi="Arial"/>
                <w:sz w:val="16"/>
                <w:szCs w:val="16"/>
                <w:color w:val="auto"/>
              </w:rPr>
              <w:t>Unrealized gain on derivative instruments and foreign exchange</w:t>
            </w:r>
          </w:p>
        </w:tc>
        <w:tc>
          <w:tcPr>
            <w:tcW w:w="28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19.0</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(70.5)</w:t>
            </w:r>
          </w:p>
        </w:tc>
        <w:tc>
          <w:tcPr>
            <w:tcW w:w="0" w:type="dxa"/>
            <w:vAlign w:val="bottom"/>
          </w:tcPr>
          <w:p>
            <w:pPr>
              <w:spacing w:after="0"/>
              <w:rPr>
                <w:sz w:val="1"/>
                <w:szCs w:val="1"/>
                <w:color w:val="auto"/>
              </w:rPr>
            </w:pPr>
          </w:p>
        </w:tc>
      </w:tr>
      <w:tr>
        <w:trPr>
          <w:trHeight w:val="270"/>
        </w:trPr>
        <w:tc>
          <w:tcPr>
            <w:tcW w:w="6520" w:type="dxa"/>
            <w:vAlign w:val="bottom"/>
          </w:tcPr>
          <w:p>
            <w:pPr>
              <w:ind w:left="360"/>
              <w:spacing w:after="0"/>
              <w:rPr>
                <w:sz w:val="20"/>
                <w:szCs w:val="20"/>
                <w:color w:val="auto"/>
              </w:rPr>
            </w:pPr>
            <w:r>
              <w:rPr>
                <w:rFonts w:ascii="Arial" w:cs="Arial" w:eastAsia="Arial" w:hAnsi="Arial"/>
                <w:sz w:val="16"/>
                <w:szCs w:val="16"/>
                <w:color w:val="auto"/>
              </w:rPr>
              <w:t>Impairments</w:t>
            </w:r>
          </w:p>
        </w:tc>
        <w:tc>
          <w:tcPr>
            <w:tcW w:w="28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70"/>
        </w:trPr>
        <w:tc>
          <w:tcPr>
            <w:tcW w:w="6520" w:type="dxa"/>
            <w:vAlign w:val="bottom"/>
          </w:tcPr>
          <w:p>
            <w:pPr>
              <w:ind w:left="360"/>
              <w:spacing w:after="0"/>
              <w:rPr>
                <w:sz w:val="20"/>
                <w:szCs w:val="20"/>
                <w:color w:val="auto"/>
              </w:rPr>
            </w:pPr>
            <w:r>
              <w:rPr>
                <w:rFonts w:ascii="Arial" w:cs="Arial" w:eastAsia="Arial" w:hAnsi="Arial"/>
                <w:sz w:val="16"/>
                <w:szCs w:val="16"/>
                <w:color w:val="auto"/>
              </w:rPr>
              <w:t>Income from equity affiliates, net of dividends received</w:t>
            </w: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(67.3)</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(36.3)</w:t>
            </w:r>
          </w:p>
        </w:tc>
        <w:tc>
          <w:tcPr>
            <w:tcW w:w="0" w:type="dxa"/>
            <w:vAlign w:val="bottom"/>
          </w:tcPr>
          <w:p>
            <w:pPr>
              <w:spacing w:after="0"/>
              <w:rPr>
                <w:sz w:val="1"/>
                <w:szCs w:val="1"/>
                <w:color w:val="auto"/>
              </w:rPr>
            </w:pPr>
          </w:p>
        </w:tc>
      </w:tr>
      <w:tr>
        <w:trPr>
          <w:trHeight w:val="270"/>
        </w:trPr>
        <w:tc>
          <w:tcPr>
            <w:tcW w:w="6520" w:type="dxa"/>
            <w:vAlign w:val="bottom"/>
          </w:tcPr>
          <w:p>
            <w:pPr>
              <w:ind w:left="360"/>
              <w:spacing w:after="0"/>
              <w:rPr>
                <w:sz w:val="20"/>
                <w:szCs w:val="20"/>
                <w:color w:val="auto"/>
              </w:rPr>
            </w:pPr>
            <w:r>
              <w:rPr>
                <w:rFonts w:ascii="Arial" w:cs="Arial" w:eastAsia="Arial" w:hAnsi="Arial"/>
                <w:sz w:val="16"/>
                <w:szCs w:val="16"/>
                <w:color w:val="auto"/>
              </w:rPr>
              <w:t>Other</w:t>
            </w:r>
          </w:p>
        </w:tc>
        <w:tc>
          <w:tcPr>
            <w:tcW w:w="28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58.9</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20.9</w:t>
            </w:r>
          </w:p>
        </w:tc>
        <w:tc>
          <w:tcPr>
            <w:tcW w:w="0" w:type="dxa"/>
            <w:vAlign w:val="bottom"/>
          </w:tcPr>
          <w:p>
            <w:pPr>
              <w:spacing w:after="0"/>
              <w:rPr>
                <w:sz w:val="1"/>
                <w:szCs w:val="1"/>
                <w:color w:val="auto"/>
              </w:rPr>
            </w:pPr>
          </w:p>
        </w:tc>
      </w:tr>
      <w:tr>
        <w:trPr>
          <w:trHeight w:val="270"/>
        </w:trPr>
        <w:tc>
          <w:tcPr>
            <w:tcW w:w="6520" w:type="dxa"/>
            <w:vAlign w:val="bottom"/>
          </w:tcPr>
          <w:p>
            <w:pPr>
              <w:spacing w:after="0"/>
              <w:rPr>
                <w:sz w:val="20"/>
                <w:szCs w:val="20"/>
                <w:color w:val="auto"/>
              </w:rPr>
            </w:pPr>
            <w:r>
              <w:rPr>
                <w:rFonts w:ascii="Arial" w:cs="Arial" w:eastAsia="Arial" w:hAnsi="Arial"/>
                <w:sz w:val="16"/>
                <w:szCs w:val="16"/>
                <w:color w:val="auto"/>
              </w:rPr>
              <w:t>Changes in operating assets and liabilities, net of effects of acquisitions</w:t>
            </w: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520" w:type="dxa"/>
            <w:vAlign w:val="bottom"/>
          </w:tcPr>
          <w:p>
            <w:pPr>
              <w:ind w:left="360"/>
              <w:spacing w:after="0"/>
              <w:rPr>
                <w:sz w:val="20"/>
                <w:szCs w:val="20"/>
                <w:color w:val="auto"/>
              </w:rPr>
            </w:pPr>
            <w:r>
              <w:rPr>
                <w:rFonts w:ascii="Arial" w:cs="Arial" w:eastAsia="Arial" w:hAnsi="Arial"/>
                <w:sz w:val="16"/>
                <w:szCs w:val="16"/>
                <w:color w:val="auto"/>
              </w:rPr>
              <w:t>Trade receivables, net and contract assets</w:t>
            </w: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(25.9)</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225.8</w:t>
            </w:r>
          </w:p>
        </w:tc>
        <w:tc>
          <w:tcPr>
            <w:tcW w:w="0" w:type="dxa"/>
            <w:vAlign w:val="bottom"/>
          </w:tcPr>
          <w:p>
            <w:pPr>
              <w:spacing w:after="0"/>
              <w:rPr>
                <w:sz w:val="1"/>
                <w:szCs w:val="1"/>
                <w:color w:val="auto"/>
              </w:rPr>
            </w:pPr>
          </w:p>
        </w:tc>
      </w:tr>
      <w:tr>
        <w:trPr>
          <w:trHeight w:val="270"/>
        </w:trPr>
        <w:tc>
          <w:tcPr>
            <w:tcW w:w="6520" w:type="dxa"/>
            <w:vAlign w:val="bottom"/>
          </w:tcPr>
          <w:p>
            <w:pPr>
              <w:ind w:left="360"/>
              <w:spacing w:after="0"/>
              <w:rPr>
                <w:sz w:val="20"/>
                <w:szCs w:val="20"/>
                <w:color w:val="auto"/>
              </w:rPr>
            </w:pPr>
            <w:r>
              <w:rPr>
                <w:rFonts w:ascii="Arial" w:cs="Arial" w:eastAsia="Arial" w:hAnsi="Arial"/>
                <w:sz w:val="16"/>
                <w:szCs w:val="16"/>
                <w:color w:val="auto"/>
              </w:rPr>
              <w:t>Inventories, net</w:t>
            </w: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(259.6)</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198.0</w:t>
            </w:r>
          </w:p>
        </w:tc>
        <w:tc>
          <w:tcPr>
            <w:tcW w:w="0" w:type="dxa"/>
            <w:vAlign w:val="bottom"/>
          </w:tcPr>
          <w:p>
            <w:pPr>
              <w:spacing w:after="0"/>
              <w:rPr>
                <w:sz w:val="1"/>
                <w:szCs w:val="1"/>
                <w:color w:val="auto"/>
              </w:rPr>
            </w:pPr>
          </w:p>
        </w:tc>
      </w:tr>
      <w:tr>
        <w:trPr>
          <w:trHeight w:val="270"/>
        </w:trPr>
        <w:tc>
          <w:tcPr>
            <w:tcW w:w="6520" w:type="dxa"/>
            <w:vAlign w:val="bottom"/>
          </w:tcPr>
          <w:p>
            <w:pPr>
              <w:ind w:left="360"/>
              <w:spacing w:after="0"/>
              <w:rPr>
                <w:sz w:val="20"/>
                <w:szCs w:val="20"/>
                <w:color w:val="auto"/>
              </w:rPr>
            </w:pPr>
            <w:r>
              <w:rPr>
                <w:rFonts w:ascii="Arial" w:cs="Arial" w:eastAsia="Arial" w:hAnsi="Arial"/>
                <w:sz w:val="16"/>
                <w:szCs w:val="16"/>
                <w:color w:val="auto"/>
              </w:rPr>
              <w:t>Accounts payable, trade</w:t>
            </w: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(938.2)</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150.2</w:t>
            </w:r>
          </w:p>
        </w:tc>
        <w:tc>
          <w:tcPr>
            <w:tcW w:w="0" w:type="dxa"/>
            <w:vAlign w:val="bottom"/>
          </w:tcPr>
          <w:p>
            <w:pPr>
              <w:spacing w:after="0"/>
              <w:rPr>
                <w:sz w:val="1"/>
                <w:szCs w:val="1"/>
                <w:color w:val="auto"/>
              </w:rPr>
            </w:pPr>
          </w:p>
        </w:tc>
      </w:tr>
      <w:tr>
        <w:trPr>
          <w:trHeight w:val="270"/>
        </w:trPr>
        <w:tc>
          <w:tcPr>
            <w:tcW w:w="6520" w:type="dxa"/>
            <w:vAlign w:val="bottom"/>
          </w:tcPr>
          <w:p>
            <w:pPr>
              <w:ind w:left="360"/>
              <w:spacing w:after="0"/>
              <w:rPr>
                <w:sz w:val="20"/>
                <w:szCs w:val="20"/>
                <w:color w:val="auto"/>
              </w:rPr>
            </w:pPr>
            <w:r>
              <w:rPr>
                <w:rFonts w:ascii="Arial" w:cs="Arial" w:eastAsia="Arial" w:hAnsi="Arial"/>
                <w:sz w:val="16"/>
                <w:szCs w:val="16"/>
                <w:color w:val="auto"/>
              </w:rPr>
              <w:t>Contract liabilities</w:t>
            </w: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(18.6)</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(1,195.3)</w:t>
            </w:r>
          </w:p>
        </w:tc>
        <w:tc>
          <w:tcPr>
            <w:tcW w:w="0" w:type="dxa"/>
            <w:vAlign w:val="bottom"/>
          </w:tcPr>
          <w:p>
            <w:pPr>
              <w:spacing w:after="0"/>
              <w:rPr>
                <w:sz w:val="1"/>
                <w:szCs w:val="1"/>
                <w:color w:val="auto"/>
              </w:rPr>
            </w:pPr>
          </w:p>
        </w:tc>
      </w:tr>
      <w:tr>
        <w:trPr>
          <w:trHeight w:val="270"/>
        </w:trPr>
        <w:tc>
          <w:tcPr>
            <w:tcW w:w="6520" w:type="dxa"/>
            <w:vAlign w:val="bottom"/>
          </w:tcPr>
          <w:p>
            <w:pPr>
              <w:ind w:left="360"/>
              <w:spacing w:after="0"/>
              <w:rPr>
                <w:sz w:val="20"/>
                <w:szCs w:val="20"/>
                <w:color w:val="auto"/>
              </w:rPr>
            </w:pPr>
            <w:r>
              <w:rPr>
                <w:rFonts w:ascii="Arial" w:cs="Arial" w:eastAsia="Arial" w:hAnsi="Arial"/>
                <w:sz w:val="16"/>
                <w:szCs w:val="16"/>
                <w:color w:val="auto"/>
              </w:rPr>
              <w:t>Income taxes payable (receivable), net</w:t>
            </w: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(91.8)</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(88.1)</w:t>
            </w:r>
          </w:p>
        </w:tc>
        <w:tc>
          <w:tcPr>
            <w:tcW w:w="0" w:type="dxa"/>
            <w:vAlign w:val="bottom"/>
          </w:tcPr>
          <w:p>
            <w:pPr>
              <w:spacing w:after="0"/>
              <w:rPr>
                <w:sz w:val="1"/>
                <w:szCs w:val="1"/>
                <w:color w:val="auto"/>
              </w:rPr>
            </w:pPr>
          </w:p>
        </w:tc>
      </w:tr>
      <w:tr>
        <w:trPr>
          <w:trHeight w:val="270"/>
        </w:trPr>
        <w:tc>
          <w:tcPr>
            <w:tcW w:w="6520" w:type="dxa"/>
            <w:vAlign w:val="bottom"/>
          </w:tcPr>
          <w:p>
            <w:pPr>
              <w:ind w:left="360"/>
              <w:spacing w:after="0"/>
              <w:rPr>
                <w:sz w:val="20"/>
                <w:szCs w:val="20"/>
                <w:color w:val="auto"/>
              </w:rPr>
            </w:pPr>
            <w:r>
              <w:rPr>
                <w:rFonts w:ascii="Arial" w:cs="Arial" w:eastAsia="Arial" w:hAnsi="Arial"/>
                <w:sz w:val="16"/>
                <w:szCs w:val="16"/>
                <w:color w:val="auto"/>
              </w:rPr>
              <w:t>Other current assets and liabilities, net</w:t>
            </w:r>
          </w:p>
        </w:tc>
        <w:tc>
          <w:tcPr>
            <w:tcW w:w="28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416.6</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217.3</w:t>
            </w:r>
          </w:p>
        </w:tc>
        <w:tc>
          <w:tcPr>
            <w:tcW w:w="0" w:type="dxa"/>
            <w:vAlign w:val="bottom"/>
          </w:tcPr>
          <w:p>
            <w:pPr>
              <w:spacing w:after="0"/>
              <w:rPr>
                <w:sz w:val="1"/>
                <w:szCs w:val="1"/>
                <w:color w:val="auto"/>
              </w:rPr>
            </w:pPr>
          </w:p>
        </w:tc>
      </w:tr>
      <w:tr>
        <w:trPr>
          <w:trHeight w:val="270"/>
        </w:trPr>
        <w:tc>
          <w:tcPr>
            <w:tcW w:w="6520" w:type="dxa"/>
            <w:vAlign w:val="bottom"/>
          </w:tcPr>
          <w:p>
            <w:pPr>
              <w:ind w:left="360"/>
              <w:spacing w:after="0"/>
              <w:rPr>
                <w:sz w:val="20"/>
                <w:szCs w:val="20"/>
                <w:color w:val="auto"/>
              </w:rPr>
            </w:pPr>
            <w:r>
              <w:rPr>
                <w:rFonts w:ascii="Arial" w:cs="Arial" w:eastAsia="Arial" w:hAnsi="Arial"/>
                <w:sz w:val="16"/>
                <w:szCs w:val="16"/>
                <w:color w:val="auto"/>
              </w:rPr>
              <w:t>Other noncurrent assets and liabilities, net</w:t>
            </w: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(182.6)</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90.6</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520" w:type="dxa"/>
            <w:vAlign w:val="bottom"/>
          </w:tcPr>
          <w:p>
            <w:pPr>
              <w:spacing w:after="0"/>
              <w:rPr>
                <w:sz w:val="20"/>
                <w:szCs w:val="20"/>
                <w:color w:val="auto"/>
              </w:rPr>
            </w:pPr>
            <w:r>
              <w:rPr>
                <w:rFonts w:ascii="Arial" w:cs="Arial" w:eastAsia="Arial" w:hAnsi="Arial"/>
                <w:sz w:val="16"/>
                <w:szCs w:val="16"/>
                <w:color w:val="auto"/>
              </w:rPr>
              <w:t>Cash provided (required) by operating activities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(344.7)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279.0</w:t>
            </w:r>
          </w:p>
        </w:tc>
        <w:tc>
          <w:tcPr>
            <w:tcW w:w="0" w:type="dxa"/>
            <w:vAlign w:val="bottom"/>
          </w:tcPr>
          <w:p>
            <w:pPr>
              <w:spacing w:after="0"/>
              <w:rPr>
                <w:sz w:val="1"/>
                <w:szCs w:val="1"/>
                <w:color w:val="auto"/>
              </w:rPr>
            </w:pPr>
          </w:p>
        </w:tc>
      </w:tr>
      <w:tr>
        <w:trPr>
          <w:trHeight w:val="33"/>
        </w:trPr>
        <w:tc>
          <w:tcPr>
            <w:tcW w:w="6520" w:type="dxa"/>
            <w:vAlign w:val="bottom"/>
            <w:vMerge w:val="restart"/>
          </w:tcPr>
          <w:p>
            <w:pPr>
              <w:spacing w:after="0"/>
              <w:rPr>
                <w:sz w:val="20"/>
                <w:szCs w:val="20"/>
                <w:color w:val="auto"/>
              </w:rPr>
            </w:pPr>
            <w:r>
              <w:rPr>
                <w:rFonts w:ascii="Arial" w:cs="Arial" w:eastAsia="Arial" w:hAnsi="Arial"/>
                <w:sz w:val="16"/>
                <w:szCs w:val="16"/>
                <w:color w:val="auto"/>
              </w:rPr>
              <w:t>Cash provided (required) by investing activities</w:t>
            </w: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55"/>
        </w:trPr>
        <w:tc>
          <w:tcPr>
            <w:tcW w:w="65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520" w:type="dxa"/>
            <w:vAlign w:val="bottom"/>
          </w:tcPr>
          <w:p>
            <w:pPr>
              <w:ind w:left="360"/>
              <w:spacing w:after="0"/>
              <w:rPr>
                <w:sz w:val="20"/>
                <w:szCs w:val="20"/>
                <w:color w:val="auto"/>
              </w:rPr>
            </w:pPr>
            <w:r>
              <w:rPr>
                <w:rFonts w:ascii="Arial" w:cs="Arial" w:eastAsia="Arial" w:hAnsi="Arial"/>
                <w:sz w:val="16"/>
                <w:szCs w:val="16"/>
                <w:color w:val="auto"/>
              </w:rPr>
              <w:t>Capital expenditures</w:t>
            </w: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(255.2)</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(170.4)</w:t>
            </w:r>
          </w:p>
        </w:tc>
        <w:tc>
          <w:tcPr>
            <w:tcW w:w="0" w:type="dxa"/>
            <w:vAlign w:val="bottom"/>
          </w:tcPr>
          <w:p>
            <w:pPr>
              <w:spacing w:after="0"/>
              <w:rPr>
                <w:sz w:val="1"/>
                <w:szCs w:val="1"/>
                <w:color w:val="auto"/>
              </w:rPr>
            </w:pPr>
          </w:p>
        </w:tc>
      </w:tr>
      <w:tr>
        <w:trPr>
          <w:trHeight w:val="270"/>
        </w:trPr>
        <w:tc>
          <w:tcPr>
            <w:tcW w:w="6520" w:type="dxa"/>
            <w:vAlign w:val="bottom"/>
          </w:tcPr>
          <w:p>
            <w:pPr>
              <w:ind w:left="360"/>
              <w:spacing w:after="0"/>
              <w:rPr>
                <w:sz w:val="20"/>
                <w:szCs w:val="20"/>
                <w:color w:val="auto"/>
              </w:rPr>
            </w:pPr>
            <w:r>
              <w:rPr>
                <w:rFonts w:ascii="Arial" w:cs="Arial" w:eastAsia="Arial" w:hAnsi="Arial"/>
                <w:sz w:val="16"/>
                <w:szCs w:val="16"/>
                <w:color w:val="auto"/>
              </w:rPr>
              <w:t>Cash acquired in merger of FMC Technologies, Inc. and Technip S.A.</w:t>
            </w:r>
          </w:p>
        </w:tc>
        <w:tc>
          <w:tcPr>
            <w:tcW w:w="28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1,479.2</w:t>
            </w:r>
          </w:p>
        </w:tc>
        <w:tc>
          <w:tcPr>
            <w:tcW w:w="0" w:type="dxa"/>
            <w:vAlign w:val="bottom"/>
          </w:tcPr>
          <w:p>
            <w:pPr>
              <w:spacing w:after="0"/>
              <w:rPr>
                <w:sz w:val="1"/>
                <w:szCs w:val="1"/>
                <w:color w:val="auto"/>
              </w:rPr>
            </w:pPr>
          </w:p>
        </w:tc>
      </w:tr>
      <w:tr>
        <w:trPr>
          <w:trHeight w:val="270"/>
        </w:trPr>
        <w:tc>
          <w:tcPr>
            <w:tcW w:w="6520" w:type="dxa"/>
            <w:vAlign w:val="bottom"/>
          </w:tcPr>
          <w:p>
            <w:pPr>
              <w:ind w:left="360"/>
              <w:spacing w:after="0"/>
              <w:rPr>
                <w:sz w:val="20"/>
                <w:szCs w:val="20"/>
                <w:color w:val="auto"/>
              </w:rPr>
            </w:pPr>
            <w:r>
              <w:rPr>
                <w:rFonts w:ascii="Arial" w:cs="Arial" w:eastAsia="Arial" w:hAnsi="Arial"/>
                <w:sz w:val="16"/>
                <w:szCs w:val="16"/>
                <w:color w:val="auto"/>
              </w:rPr>
              <w:t>Acquisitions, net of cash acquired</w:t>
            </w: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(103.4)</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6520" w:type="dxa"/>
            <w:vAlign w:val="bottom"/>
          </w:tcPr>
          <w:p>
            <w:pPr>
              <w:ind w:left="360"/>
              <w:spacing w:after="0"/>
              <w:rPr>
                <w:sz w:val="20"/>
                <w:szCs w:val="20"/>
                <w:color w:val="auto"/>
              </w:rPr>
            </w:pPr>
            <w:r>
              <w:rPr>
                <w:rFonts w:ascii="Arial" w:cs="Arial" w:eastAsia="Arial" w:hAnsi="Arial"/>
                <w:sz w:val="16"/>
                <w:szCs w:val="16"/>
                <w:color w:val="auto"/>
              </w:rPr>
              <w:t>Cash divested from deconsolidation</w:t>
            </w: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6520" w:type="dxa"/>
            <w:vAlign w:val="bottom"/>
          </w:tcPr>
          <w:p>
            <w:pPr>
              <w:ind w:left="360"/>
              <w:spacing w:after="0"/>
              <w:rPr>
                <w:sz w:val="20"/>
                <w:szCs w:val="20"/>
                <w:color w:val="auto"/>
              </w:rPr>
            </w:pPr>
            <w:r>
              <w:rPr>
                <w:rFonts w:ascii="Arial" w:cs="Arial" w:eastAsia="Arial" w:hAnsi="Arial"/>
                <w:sz w:val="16"/>
                <w:szCs w:val="16"/>
                <w:color w:val="auto"/>
              </w:rPr>
              <w:t>Proceeds from sale of assets</w:t>
            </w:r>
          </w:p>
        </w:tc>
        <w:tc>
          <w:tcPr>
            <w:tcW w:w="28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70"/>
        </w:trPr>
        <w:tc>
          <w:tcPr>
            <w:tcW w:w="6520" w:type="dxa"/>
            <w:vAlign w:val="bottom"/>
          </w:tcPr>
          <w:p>
            <w:pPr>
              <w:ind w:left="360"/>
              <w:spacing w:after="0"/>
              <w:rPr>
                <w:sz w:val="20"/>
                <w:szCs w:val="20"/>
                <w:color w:val="auto"/>
              </w:rPr>
            </w:pPr>
            <w:r>
              <w:rPr>
                <w:rFonts w:ascii="Arial" w:cs="Arial" w:eastAsia="Arial" w:hAnsi="Arial"/>
                <w:sz w:val="16"/>
                <w:szCs w:val="16"/>
                <w:color w:val="auto"/>
              </w:rPr>
              <w:t>Other</w:t>
            </w:r>
          </w:p>
        </w:tc>
        <w:tc>
          <w:tcPr>
            <w:tcW w:w="28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520" w:type="dxa"/>
            <w:vAlign w:val="bottom"/>
          </w:tcPr>
          <w:p>
            <w:pPr>
              <w:spacing w:after="0"/>
              <w:rPr>
                <w:sz w:val="20"/>
                <w:szCs w:val="20"/>
                <w:color w:val="auto"/>
              </w:rPr>
            </w:pPr>
            <w:r>
              <w:rPr>
                <w:rFonts w:ascii="Arial" w:cs="Arial" w:eastAsia="Arial" w:hAnsi="Arial"/>
                <w:sz w:val="16"/>
                <w:szCs w:val="16"/>
                <w:color w:val="auto"/>
              </w:rPr>
              <w:t>Cash provided (required) by investing activities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(358.2)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1,334.4</w:t>
            </w:r>
          </w:p>
        </w:tc>
        <w:tc>
          <w:tcPr>
            <w:tcW w:w="0" w:type="dxa"/>
            <w:vAlign w:val="bottom"/>
          </w:tcPr>
          <w:p>
            <w:pPr>
              <w:spacing w:after="0"/>
              <w:rPr>
                <w:sz w:val="1"/>
                <w:szCs w:val="1"/>
                <w:color w:val="auto"/>
              </w:rPr>
            </w:pPr>
          </w:p>
        </w:tc>
      </w:tr>
      <w:tr>
        <w:trPr>
          <w:trHeight w:val="33"/>
        </w:trPr>
        <w:tc>
          <w:tcPr>
            <w:tcW w:w="6520" w:type="dxa"/>
            <w:vAlign w:val="bottom"/>
            <w:vMerge w:val="restart"/>
          </w:tcPr>
          <w:p>
            <w:pPr>
              <w:spacing w:after="0"/>
              <w:rPr>
                <w:sz w:val="20"/>
                <w:szCs w:val="20"/>
                <w:color w:val="auto"/>
              </w:rPr>
            </w:pPr>
            <w:r>
              <w:rPr>
                <w:rFonts w:ascii="Arial" w:cs="Arial" w:eastAsia="Arial" w:hAnsi="Arial"/>
                <w:sz w:val="16"/>
                <w:szCs w:val="16"/>
                <w:color w:val="auto"/>
              </w:rPr>
              <w:t>Cash required by financing activities</w:t>
            </w: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14"/>
        </w:trPr>
        <w:tc>
          <w:tcPr>
            <w:tcW w:w="65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520" w:type="dxa"/>
            <w:vAlign w:val="bottom"/>
          </w:tcPr>
          <w:p>
            <w:pPr>
              <w:ind w:left="360"/>
              <w:spacing w:after="0"/>
              <w:rPr>
                <w:sz w:val="20"/>
                <w:szCs w:val="20"/>
                <w:color w:val="auto"/>
              </w:rPr>
            </w:pPr>
            <w:r>
              <w:rPr>
                <w:rFonts w:ascii="Arial" w:cs="Arial" w:eastAsia="Arial" w:hAnsi="Arial"/>
                <w:sz w:val="16"/>
                <w:szCs w:val="16"/>
                <w:color w:val="auto"/>
              </w:rPr>
              <w:t>Net decrease in short-term debt</w:t>
            </w: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(29.5)</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(28.4)</w:t>
            </w:r>
          </w:p>
        </w:tc>
        <w:tc>
          <w:tcPr>
            <w:tcW w:w="0" w:type="dxa"/>
            <w:vAlign w:val="bottom"/>
          </w:tcPr>
          <w:p>
            <w:pPr>
              <w:spacing w:after="0"/>
              <w:rPr>
                <w:sz w:val="1"/>
                <w:szCs w:val="1"/>
                <w:color w:val="auto"/>
              </w:rPr>
            </w:pPr>
          </w:p>
        </w:tc>
      </w:tr>
      <w:tr>
        <w:trPr>
          <w:trHeight w:val="270"/>
        </w:trPr>
        <w:tc>
          <w:tcPr>
            <w:tcW w:w="6520" w:type="dxa"/>
            <w:vAlign w:val="bottom"/>
          </w:tcPr>
          <w:p>
            <w:pPr>
              <w:ind w:left="360"/>
              <w:spacing w:after="0"/>
              <w:rPr>
                <w:sz w:val="20"/>
                <w:szCs w:val="20"/>
                <w:color w:val="auto"/>
              </w:rPr>
            </w:pPr>
            <w:r>
              <w:rPr>
                <w:rFonts w:ascii="Arial" w:cs="Arial" w:eastAsia="Arial" w:hAnsi="Arial"/>
                <w:sz w:val="16"/>
                <w:szCs w:val="16"/>
                <w:color w:val="auto"/>
              </w:rPr>
              <w:t>Net increase (decrease) in commercial paper</w:t>
            </w:r>
          </w:p>
        </w:tc>
        <w:tc>
          <w:tcPr>
            <w:tcW w:w="28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309.3</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(363.0)</w:t>
            </w:r>
          </w:p>
        </w:tc>
        <w:tc>
          <w:tcPr>
            <w:tcW w:w="0" w:type="dxa"/>
            <w:vAlign w:val="bottom"/>
          </w:tcPr>
          <w:p>
            <w:pPr>
              <w:spacing w:after="0"/>
              <w:rPr>
                <w:sz w:val="1"/>
                <w:szCs w:val="1"/>
                <w:color w:val="auto"/>
              </w:rPr>
            </w:pPr>
          </w:p>
        </w:tc>
      </w:tr>
      <w:tr>
        <w:trPr>
          <w:trHeight w:val="270"/>
        </w:trPr>
        <w:tc>
          <w:tcPr>
            <w:tcW w:w="6520" w:type="dxa"/>
            <w:vAlign w:val="bottom"/>
          </w:tcPr>
          <w:p>
            <w:pPr>
              <w:ind w:left="360"/>
              <w:spacing w:after="0"/>
              <w:rPr>
                <w:sz w:val="20"/>
                <w:szCs w:val="20"/>
                <w:color w:val="auto"/>
              </w:rPr>
            </w:pPr>
            <w:r>
              <w:rPr>
                <w:rFonts w:ascii="Arial" w:cs="Arial" w:eastAsia="Arial" w:hAnsi="Arial"/>
                <w:sz w:val="16"/>
                <w:szCs w:val="16"/>
                <w:color w:val="auto"/>
              </w:rPr>
              <w:t>Proceeds from issuance of long-term debt</w:t>
            </w:r>
          </w:p>
        </w:tc>
        <w:tc>
          <w:tcPr>
            <w:tcW w:w="28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70"/>
        </w:trPr>
        <w:tc>
          <w:tcPr>
            <w:tcW w:w="6520" w:type="dxa"/>
            <w:vAlign w:val="bottom"/>
          </w:tcPr>
          <w:p>
            <w:pPr>
              <w:ind w:left="360"/>
              <w:spacing w:after="0"/>
              <w:rPr>
                <w:sz w:val="20"/>
                <w:szCs w:val="20"/>
                <w:color w:val="auto"/>
              </w:rPr>
            </w:pPr>
            <w:r>
              <w:rPr>
                <w:rFonts w:ascii="Arial" w:cs="Arial" w:eastAsia="Arial" w:hAnsi="Arial"/>
                <w:sz w:val="16"/>
                <w:szCs w:val="16"/>
                <w:color w:val="auto"/>
              </w:rPr>
              <w:t>Repayments of long-term debt</w:t>
            </w:r>
          </w:p>
        </w:tc>
        <w:tc>
          <w:tcPr>
            <w:tcW w:w="28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(547.2)</w:t>
            </w:r>
          </w:p>
        </w:tc>
        <w:tc>
          <w:tcPr>
            <w:tcW w:w="0" w:type="dxa"/>
            <w:vAlign w:val="bottom"/>
          </w:tcPr>
          <w:p>
            <w:pPr>
              <w:spacing w:after="0"/>
              <w:rPr>
                <w:sz w:val="1"/>
                <w:szCs w:val="1"/>
                <w:color w:val="auto"/>
              </w:rPr>
            </w:pPr>
          </w:p>
        </w:tc>
      </w:tr>
      <w:tr>
        <w:trPr>
          <w:trHeight w:val="270"/>
        </w:trPr>
        <w:tc>
          <w:tcPr>
            <w:tcW w:w="6520" w:type="dxa"/>
            <w:vAlign w:val="bottom"/>
          </w:tcPr>
          <w:p>
            <w:pPr>
              <w:ind w:left="360"/>
              <w:spacing w:after="0"/>
              <w:rPr>
                <w:sz w:val="20"/>
                <w:szCs w:val="20"/>
                <w:color w:val="auto"/>
              </w:rPr>
            </w:pPr>
            <w:r>
              <w:rPr>
                <w:rFonts w:ascii="Arial" w:cs="Arial" w:eastAsia="Arial" w:hAnsi="Arial"/>
                <w:sz w:val="16"/>
                <w:szCs w:val="16"/>
                <w:color w:val="auto"/>
              </w:rPr>
              <w:t>Payments related to taxes withheld on share-based compensation</w:t>
            </w:r>
          </w:p>
        </w:tc>
        <w:tc>
          <w:tcPr>
            <w:tcW w:w="28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(46.6)</w:t>
            </w:r>
          </w:p>
        </w:tc>
        <w:tc>
          <w:tcPr>
            <w:tcW w:w="0" w:type="dxa"/>
            <w:vAlign w:val="bottom"/>
          </w:tcPr>
          <w:p>
            <w:pPr>
              <w:spacing w:after="0"/>
              <w:rPr>
                <w:sz w:val="1"/>
                <w:szCs w:val="1"/>
                <w:color w:val="auto"/>
              </w:rPr>
            </w:pPr>
          </w:p>
        </w:tc>
      </w:tr>
      <w:tr>
        <w:trPr>
          <w:trHeight w:val="270"/>
        </w:trPr>
        <w:tc>
          <w:tcPr>
            <w:tcW w:w="6520" w:type="dxa"/>
            <w:vAlign w:val="bottom"/>
          </w:tcPr>
          <w:p>
            <w:pPr>
              <w:ind w:left="360"/>
              <w:spacing w:after="0"/>
              <w:rPr>
                <w:sz w:val="20"/>
                <w:szCs w:val="20"/>
                <w:color w:val="auto"/>
              </w:rPr>
            </w:pPr>
            <w:r>
              <w:rPr>
                <w:rFonts w:ascii="Arial" w:cs="Arial" w:eastAsia="Arial" w:hAnsi="Arial"/>
                <w:sz w:val="16"/>
                <w:szCs w:val="16"/>
                <w:color w:val="auto"/>
              </w:rPr>
              <w:t>Purchase of treasury shares</w:t>
            </w: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(384.2)</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70"/>
        </w:trPr>
        <w:tc>
          <w:tcPr>
            <w:tcW w:w="6520" w:type="dxa"/>
            <w:vAlign w:val="bottom"/>
          </w:tcPr>
          <w:p>
            <w:pPr>
              <w:ind w:left="360"/>
              <w:spacing w:after="0"/>
              <w:rPr>
                <w:sz w:val="20"/>
                <w:szCs w:val="20"/>
                <w:color w:val="auto"/>
              </w:rPr>
            </w:pPr>
            <w:r>
              <w:rPr>
                <w:rFonts w:ascii="Arial" w:cs="Arial" w:eastAsia="Arial" w:hAnsi="Arial"/>
                <w:sz w:val="16"/>
                <w:szCs w:val="16"/>
                <w:color w:val="auto"/>
              </w:rPr>
              <w:t>Dividends paid</w:t>
            </w: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(179.2)</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6520" w:type="dxa"/>
            <w:vAlign w:val="bottom"/>
          </w:tcPr>
          <w:p>
            <w:pPr>
              <w:ind w:left="360"/>
              <w:spacing w:after="0"/>
              <w:rPr>
                <w:sz w:val="20"/>
                <w:szCs w:val="20"/>
                <w:color w:val="auto"/>
              </w:rPr>
            </w:pPr>
            <w:r>
              <w:rPr>
                <w:rFonts w:ascii="Arial" w:cs="Arial" w:eastAsia="Arial" w:hAnsi="Arial"/>
                <w:sz w:val="16"/>
                <w:szCs w:val="16"/>
                <w:color w:val="auto"/>
              </w:rPr>
              <w:t>Settlements of mandatorily redeemable financial liability</w:t>
            </w: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(124.2)</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(76.6)</w:t>
            </w:r>
          </w:p>
        </w:tc>
        <w:tc>
          <w:tcPr>
            <w:tcW w:w="0" w:type="dxa"/>
            <w:vAlign w:val="bottom"/>
          </w:tcPr>
          <w:p>
            <w:pPr>
              <w:spacing w:after="0"/>
              <w:rPr>
                <w:sz w:val="1"/>
                <w:szCs w:val="1"/>
                <w:color w:val="auto"/>
              </w:rPr>
            </w:pPr>
          </w:p>
        </w:tc>
      </w:tr>
      <w:tr>
        <w:trPr>
          <w:trHeight w:val="270"/>
        </w:trPr>
        <w:tc>
          <w:tcPr>
            <w:tcW w:w="6520" w:type="dxa"/>
            <w:vAlign w:val="bottom"/>
          </w:tcPr>
          <w:p>
            <w:pPr>
              <w:ind w:left="360"/>
              <w:spacing w:after="0"/>
              <w:rPr>
                <w:sz w:val="20"/>
                <w:szCs w:val="20"/>
                <w:color w:val="auto"/>
              </w:rPr>
            </w:pPr>
            <w:r>
              <w:rPr>
                <w:rFonts w:ascii="Arial" w:cs="Arial" w:eastAsia="Arial" w:hAnsi="Arial"/>
                <w:sz w:val="16"/>
                <w:szCs w:val="16"/>
                <w:color w:val="auto"/>
              </w:rPr>
              <w:t>Other</w:t>
            </w:r>
          </w:p>
        </w:tc>
        <w:tc>
          <w:tcPr>
            <w:tcW w:w="28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520" w:type="dxa"/>
            <w:vAlign w:val="bottom"/>
          </w:tcPr>
          <w:p>
            <w:pPr>
              <w:spacing w:after="0"/>
              <w:rPr>
                <w:sz w:val="20"/>
                <w:szCs w:val="20"/>
                <w:color w:val="auto"/>
              </w:rPr>
            </w:pPr>
            <w:r>
              <w:rPr>
                <w:rFonts w:ascii="Arial" w:cs="Arial" w:eastAsia="Arial" w:hAnsi="Arial"/>
                <w:sz w:val="16"/>
                <w:szCs w:val="16"/>
                <w:color w:val="auto"/>
              </w:rPr>
              <w:t>Cash required by financing activities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(403.0)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(1,056.1)</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520" w:type="dxa"/>
            <w:vAlign w:val="bottom"/>
          </w:tcPr>
          <w:p>
            <w:pPr>
              <w:ind w:left="360"/>
              <w:spacing w:after="0"/>
              <w:rPr>
                <w:sz w:val="20"/>
                <w:szCs w:val="20"/>
                <w:color w:val="auto"/>
              </w:rPr>
            </w:pPr>
            <w:r>
              <w:rPr>
                <w:rFonts w:ascii="Arial" w:cs="Arial" w:eastAsia="Arial" w:hAnsi="Arial"/>
                <w:sz w:val="16"/>
                <w:szCs w:val="16"/>
                <w:color w:val="auto"/>
              </w:rPr>
              <w:t>Effect of changes in foreign exchange rates on cash and cash equivalents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(78.2)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69.5</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520" w:type="dxa"/>
            <w:vAlign w:val="bottom"/>
          </w:tcPr>
          <w:p>
            <w:pPr>
              <w:ind w:left="360"/>
              <w:spacing w:after="0"/>
              <w:rPr>
                <w:sz w:val="20"/>
                <w:szCs w:val="20"/>
                <w:color w:val="auto"/>
              </w:rPr>
            </w:pPr>
            <w:r>
              <w:rPr>
                <w:rFonts w:ascii="Arial" w:cs="Arial" w:eastAsia="Arial" w:hAnsi="Arial"/>
                <w:sz w:val="16"/>
                <w:szCs w:val="16"/>
                <w:color w:val="auto"/>
              </w:rPr>
              <w:t>Increase (decrease) in cash and cash equivalents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(1,184.1)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626.8</w:t>
            </w:r>
          </w:p>
        </w:tc>
        <w:tc>
          <w:tcPr>
            <w:tcW w:w="0" w:type="dxa"/>
            <w:vAlign w:val="bottom"/>
          </w:tcPr>
          <w:p>
            <w:pPr>
              <w:spacing w:after="0"/>
              <w:rPr>
                <w:sz w:val="1"/>
                <w:szCs w:val="1"/>
                <w:color w:val="auto"/>
              </w:rPr>
            </w:pPr>
          </w:p>
        </w:tc>
      </w:tr>
      <w:tr>
        <w:trPr>
          <w:trHeight w:val="270"/>
        </w:trPr>
        <w:tc>
          <w:tcPr>
            <w:tcW w:w="6520" w:type="dxa"/>
            <w:vAlign w:val="bottom"/>
          </w:tcPr>
          <w:p>
            <w:pPr>
              <w:spacing w:after="0"/>
              <w:rPr>
                <w:sz w:val="20"/>
                <w:szCs w:val="20"/>
                <w:color w:val="auto"/>
              </w:rPr>
            </w:pPr>
            <w:r>
              <w:rPr>
                <w:rFonts w:ascii="Arial" w:cs="Arial" w:eastAsia="Arial" w:hAnsi="Arial"/>
                <w:sz w:val="16"/>
                <w:szCs w:val="16"/>
                <w:color w:val="auto"/>
              </w:rPr>
              <w:t>Cash and cash equivalents, beginning of period</w:t>
            </w:r>
          </w:p>
        </w:tc>
        <w:tc>
          <w:tcPr>
            <w:tcW w:w="28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6,737.4</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6,269.3</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Pr>
          <w:p>
            <w:pPr>
              <w:spacing w:after="0"/>
              <w:rPr>
                <w:sz w:val="20"/>
                <w:szCs w:val="20"/>
                <w:color w:val="auto"/>
              </w:rPr>
            </w:pPr>
            <w:r>
              <w:rPr>
                <w:rFonts w:ascii="Arial" w:cs="Arial" w:eastAsia="Arial" w:hAnsi="Arial"/>
                <w:sz w:val="16"/>
                <w:szCs w:val="16"/>
                <w:color w:val="auto"/>
              </w:rPr>
              <w:t>Cash and cash equivalents, end of period</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5,553.3</w:t>
            </w:r>
          </w:p>
        </w:tc>
        <w:tc>
          <w:tcPr>
            <w:tcW w:w="100" w:type="dxa"/>
            <w:vAlign w:val="bottom"/>
          </w:tcPr>
          <w:p>
            <w:pPr>
              <w:spacing w:after="0"/>
              <w:rPr>
                <w:sz w:val="21"/>
                <w:szCs w:val="21"/>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6,896.1</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220"/>
          </w:cols>
          <w:pgMar w:left="1360" w:top="526" w:right="1319" w:bottom="1440" w:gutter="0" w:footer="0" w:header="0"/>
        </w:sectPr>
      </w:pPr>
    </w:p>
    <w:bookmarkStart w:id="23" w:name="page24"/>
    <w:bookmarkEnd w:id="23"/>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2641600" cy="523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2641600" cy="52324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0"/>
          <w:szCs w:val="20"/>
          <w:b w:val="1"/>
          <w:bCs w:val="1"/>
          <w:u w:val="single" w:color="auto"/>
          <w:color w:val="auto"/>
        </w:rPr>
        <w:t>TECHNIPFMC plc AND CONSOLIDATED SUBSIDIARIES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NON-GAAP FINANCIAL MEASURES</w:t>
      </w:r>
    </w:p>
    <w:p>
      <w:pPr>
        <w:spacing w:after="0" w:line="200" w:lineRule="exact"/>
        <w:rPr>
          <w:sz w:val="20"/>
          <w:szCs w:val="20"/>
          <w:color w:val="auto"/>
        </w:rPr>
      </w:pPr>
    </w:p>
    <w:p>
      <w:pPr>
        <w:spacing w:after="0" w:line="205" w:lineRule="exact"/>
        <w:rPr>
          <w:sz w:val="20"/>
          <w:szCs w:val="20"/>
          <w:color w:val="auto"/>
        </w:rPr>
      </w:pPr>
    </w:p>
    <w:p>
      <w:pPr>
        <w:ind w:right="20"/>
        <w:spacing w:after="0" w:line="247" w:lineRule="auto"/>
        <w:rPr>
          <w:sz w:val="20"/>
          <w:szCs w:val="20"/>
          <w:color w:val="auto"/>
        </w:rPr>
      </w:pPr>
      <w:r>
        <w:rPr>
          <w:rFonts w:ascii="Arial" w:cs="Arial" w:eastAsia="Arial" w:hAnsi="Arial"/>
          <w:sz w:val="20"/>
          <w:szCs w:val="20"/>
          <w:color w:val="auto"/>
        </w:rPr>
        <w:t>The Reconciliation of U.S. GAAP to non-GAAP financial measures for TechnipFMC plc and consolidated subsidiaries are provided on the following pages. The financial results reflect the following information:</w:t>
      </w:r>
    </w:p>
    <w:p>
      <w:pPr>
        <w:spacing w:after="0" w:line="161" w:lineRule="exact"/>
        <w:rPr>
          <w:sz w:val="20"/>
          <w:szCs w:val="20"/>
          <w:color w:val="auto"/>
        </w:rPr>
      </w:pPr>
    </w:p>
    <w:p>
      <w:pPr>
        <w:ind w:left="660" w:hanging="328"/>
        <w:spacing w:after="0" w:line="247" w:lineRule="auto"/>
        <w:tabs>
          <w:tab w:leader="none" w:pos="6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On January 16, 2017, TechnipFMC was created by the business combination of Technip S.A. (Technip) and FMC Technologies, Inc. (FMC Technologies).</w:t>
      </w: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color w:val="auto"/>
        </w:rPr>
        <w:t>The Non-GAAP results for the three and nine months ended September 30, 2017:</w:t>
      </w:r>
    </w:p>
    <w:p>
      <w:pPr>
        <w:spacing w:after="0" w:line="17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20"/>
          <w:szCs w:val="20"/>
          <w:color w:val="auto"/>
        </w:rPr>
      </w:pPr>
      <w:r>
        <w:rPr>
          <w:rFonts w:ascii="Arial" w:cs="Arial" w:eastAsia="Arial" w:hAnsi="Arial"/>
          <w:sz w:val="20"/>
          <w:szCs w:val="20"/>
          <w:color w:val="auto"/>
        </w:rPr>
        <w:t>Include the results of Technip for the full period;</w:t>
      </w:r>
    </w:p>
    <w:p>
      <w:pPr>
        <w:jc w:val="both"/>
        <w:ind w:left="660" w:hanging="328"/>
        <w:spacing w:after="0" w:line="243" w:lineRule="auto"/>
        <w:tabs>
          <w:tab w:leader="none" w:pos="660" w:val="left"/>
        </w:tabs>
        <w:numPr>
          <w:ilvl w:val="0"/>
          <w:numId w:val="19"/>
        </w:numPr>
        <w:rPr>
          <w:rFonts w:ascii="Arial" w:cs="Arial" w:eastAsia="Arial" w:hAnsi="Arial"/>
          <w:sz w:val="20"/>
          <w:szCs w:val="20"/>
          <w:color w:val="auto"/>
        </w:rPr>
      </w:pPr>
      <w:r>
        <w:rPr>
          <w:rFonts w:ascii="Arial" w:cs="Arial" w:eastAsia="Arial" w:hAnsi="Arial"/>
          <w:sz w:val="20"/>
          <w:szCs w:val="20"/>
          <w:color w:val="auto"/>
        </w:rPr>
        <w:t>Include the results of FMC Technologies for the period January 17 to September 30, 2017; revenue of $112.9 million during the period from January 1 to January 16, 2017 were excluded, of which approximately 70 percent was reported in Subsea and the remainder in Surface Technologies.</w:t>
      </w:r>
    </w:p>
    <w:p>
      <w:pPr>
        <w:spacing w:after="0" w:line="395" w:lineRule="exact"/>
        <w:rPr>
          <w:sz w:val="20"/>
          <w:szCs w:val="20"/>
          <w:color w:val="auto"/>
        </w:rPr>
      </w:pPr>
    </w:p>
    <w:p>
      <w:pPr>
        <w:ind w:right="20"/>
        <w:spacing w:after="0" w:line="247" w:lineRule="auto"/>
        <w:rPr>
          <w:sz w:val="20"/>
          <w:szCs w:val="20"/>
          <w:color w:val="auto"/>
        </w:rPr>
      </w:pPr>
      <w:r>
        <w:rPr>
          <w:rFonts w:ascii="Arial" w:cs="Arial" w:eastAsia="Arial" w:hAnsi="Arial"/>
          <w:sz w:val="20"/>
          <w:szCs w:val="20"/>
          <w:color w:val="auto"/>
        </w:rPr>
        <w:t>When referencing these financial statements, adjusted EBITDA is also used to describe EBITDA excluding amortization related to the impact of purchase price accounting and other charges and credits.</w:t>
      </w:r>
    </w:p>
    <w:p>
      <w:pPr>
        <w:sectPr>
          <w:pgSz w:w="11900" w:h="16838" w:orient="portrait"/>
          <w:cols w:equalWidth="0" w:num="1">
            <w:col w:w="11420"/>
          </w:cols>
          <w:pgMar w:left="240" w:top="1440" w:right="239" w:bottom="1440" w:gutter="0" w:footer="0" w:header="0"/>
        </w:sectPr>
      </w:pPr>
    </w:p>
    <w:bookmarkStart w:id="24" w:name="page25"/>
    <w:bookmarkEnd w:id="24"/>
    <w:p>
      <w:pPr>
        <w:jc w:val="center"/>
        <w:ind w:left="260" w:right="2740"/>
        <w:spacing w:after="0" w:line="266" w:lineRule="auto"/>
        <w:rPr>
          <w:sz w:val="20"/>
          <w:szCs w:val="20"/>
          <w:color w:val="auto"/>
        </w:rPr>
      </w:pPr>
      <w:r>
        <w:rPr>
          <w:rFonts w:ascii="Arial" w:cs="Arial" w:eastAsia="Arial" w:hAnsi="Arial"/>
          <w:sz w:val="18"/>
          <w:szCs w:val="18"/>
          <w:b w:val="1"/>
          <w:bCs w:val="1"/>
          <w:u w:val="single" w:color="auto"/>
          <w:color w:val="auto"/>
        </w:rPr>
        <w:t xml:space="preserve">TECHNIPFMC PLC AND CONSOLIDATED SUBSIDIARIES RECONCILIATION OF GAAP TO NON-GAAP FINANCIAL MEASURES </w:t>
      </w:r>
      <w:r>
        <w:rPr>
          <w:rFonts w:ascii="Arial" w:cs="Arial" w:eastAsia="Arial" w:hAnsi="Arial"/>
          <w:sz w:val="18"/>
          <w:szCs w:val="18"/>
          <w:b w:val="1"/>
          <w:bCs w:val="1"/>
          <w:color w:val="auto"/>
        </w:rPr>
        <w:t>(In millions, unaudited)</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Charges and Credits</w:t>
      </w:r>
    </w:p>
    <w:p>
      <w:pPr>
        <w:spacing w:after="0" w:line="17" w:lineRule="exact"/>
        <w:rPr>
          <w:sz w:val="20"/>
          <w:szCs w:val="20"/>
          <w:color w:val="auto"/>
        </w:rPr>
      </w:pPr>
    </w:p>
    <w:p>
      <w:pPr>
        <w:spacing w:after="0" w:line="264" w:lineRule="auto"/>
        <w:rPr>
          <w:sz w:val="20"/>
          <w:szCs w:val="20"/>
          <w:color w:val="auto"/>
        </w:rPr>
      </w:pPr>
      <w:r>
        <w:rPr>
          <w:rFonts w:ascii="Arial" w:cs="Arial" w:eastAsia="Arial" w:hAnsi="Arial"/>
          <w:sz w:val="13"/>
          <w:szCs w:val="13"/>
          <w:color w:val="auto"/>
        </w:rPr>
        <w:t>In addition to financial results determined in accordance with U.S. generally accepted accounting principles (GAAP), the third quarter 2018 Earnings Release also includes non-GAAP financial measures (as defined in Item 10 of Regulation S-K of the Securities Exchange Act of 1934, as amended) and describes performance on a year-over-year basis against 2017 results and measures. Net income, excluding charges and credits, as well as measures derived from it (including Diluted EPS, excluding charges and credits; Income before net interest expense and taxes, excluding charges and credits ("Adjusted Operating profit"); Depreciation and amortization, excluding charges and credits; Earnings before net interest expense, income taxes, depreciation and amortization, excluding charges and credits ("Adjusted EBITDA"); and net cash) are non-GAAP financial measures. Management believes that the exclusion of charges and credits from these financial measures enables investors and management to more effectively evaluate TechnipFMC's operations and consolidated results of operations period-over-period, and to identify operating trends that could otherwise be masked or misleading to both investors and management by the excluded items. These measures are also used by management as performance measures in determining certain incentive compensation. The foregoing non-GAAP financial measures should be considered by investors in addition to, not as a substitute for or superior to, other measures of financial performance prepared in accordance with GAAP. The following is a reconciliation of the most comparable financial measures under GAAP to the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1746250</wp:posOffset>
            </wp:positionH>
            <wp:positionV relativeFrom="paragraph">
              <wp:posOffset>213360</wp:posOffset>
            </wp:positionV>
            <wp:extent cx="47853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785360" cy="889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jc w:val="center"/>
        <w:ind w:left="1640"/>
        <w:spacing w:after="0"/>
        <w:rPr>
          <w:sz w:val="20"/>
          <w:szCs w:val="20"/>
          <w:color w:val="auto"/>
        </w:rPr>
      </w:pPr>
      <w:r>
        <w:rPr>
          <w:rFonts w:ascii="Arial" w:cs="Arial" w:eastAsia="Arial" w:hAnsi="Arial"/>
          <w:sz w:val="13"/>
          <w:szCs w:val="13"/>
          <w:b w:val="1"/>
          <w:bCs w:val="1"/>
          <w:color w:val="auto"/>
        </w:rPr>
        <w:t>Three Months Ended</w:t>
      </w:r>
    </w:p>
    <w:p>
      <w:pPr>
        <w:spacing w:after="0" w:line="40" w:lineRule="exact"/>
        <w:rPr>
          <w:sz w:val="20"/>
          <w:szCs w:val="20"/>
          <w:color w:val="auto"/>
        </w:rPr>
      </w:pPr>
    </w:p>
    <w:p>
      <w:pPr>
        <w:jc w:val="center"/>
        <w:ind w:left="1640"/>
        <w:spacing w:after="0"/>
        <w:rPr>
          <w:sz w:val="20"/>
          <w:szCs w:val="20"/>
          <w:color w:val="auto"/>
        </w:rPr>
      </w:pPr>
      <w:r>
        <w:rPr>
          <w:rFonts w:ascii="Arial" w:cs="Arial" w:eastAsia="Arial" w:hAnsi="Arial"/>
          <w:sz w:val="13"/>
          <w:szCs w:val="13"/>
          <w:b w:val="1"/>
          <w:bCs w:val="1"/>
          <w:color w:val="auto"/>
        </w:rPr>
        <w:t>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1746250</wp:posOffset>
            </wp:positionH>
            <wp:positionV relativeFrom="paragraph">
              <wp:posOffset>71120</wp:posOffset>
            </wp:positionV>
            <wp:extent cx="47853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785360" cy="8890"/>
                    </a:xfrm>
                    <a:prstGeom prst="rect">
                      <a:avLst/>
                    </a:prstGeom>
                    <a:noFill/>
                  </pic:spPr>
                </pic:pic>
              </a:graphicData>
            </a:graphic>
          </wp:anchor>
        </w:drawing>
      </w:r>
    </w:p>
    <w:p>
      <w:pPr>
        <w:spacing w:after="0" w:line="100" w:lineRule="exact"/>
        <w:rPr>
          <w:sz w:val="20"/>
          <w:szCs w:val="20"/>
          <w:color w:val="auto"/>
        </w:rPr>
      </w:pPr>
    </w:p>
    <w:tbl>
      <w:tblPr>
        <w:tblLayout w:type="fixed"/>
        <w:tblInd w:w="1180" w:type="dxa"/>
        <w:tblCellMar>
          <w:top w:w="0" w:type="dxa"/>
          <w:left w:w="0" w:type="dxa"/>
          <w:bottom w:w="0" w:type="dxa"/>
          <w:right w:w="0" w:type="dxa"/>
        </w:tblCellMar>
      </w:tblPr>
      <w:tr>
        <w:trPr>
          <w:trHeight w:val="149"/>
        </w:trPr>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6"/>
              </w:rPr>
              <w:t>Earnings before</w:t>
            </w:r>
          </w:p>
        </w:tc>
      </w:tr>
      <w:tr>
        <w:trPr>
          <w:trHeight w:val="135"/>
        </w:trPr>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5"/>
              </w:rPr>
              <w:t>net interest</w:t>
            </w:r>
          </w:p>
        </w:tc>
      </w:tr>
      <w:tr>
        <w:trPr>
          <w:trHeight w:val="135"/>
        </w:trPr>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2"/>
              </w:rPr>
              <w:t>expense, income</w:t>
            </w:r>
          </w:p>
        </w:tc>
      </w:tr>
      <w:tr>
        <w:trPr>
          <w:trHeight w:val="135"/>
        </w:trPr>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4"/>
              </w:rPr>
              <w:t>Net loss (income)</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5"/>
              </w:rPr>
              <w:t>Income before net</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81"/>
              </w:rPr>
              <w:t>taxes,</w:t>
            </w:r>
          </w:p>
        </w:tc>
      </w:tr>
      <w:tr>
        <w:trPr>
          <w:trHeight w:val="135"/>
        </w:trPr>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5"/>
              </w:rPr>
              <w:t>Net income</w:t>
            </w:r>
          </w:p>
        </w:tc>
        <w:tc>
          <w:tcPr>
            <w:tcW w:w="8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attributable to</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1"/>
              </w:rPr>
              <w:t>interest expense</w:t>
            </w:r>
          </w:p>
        </w:tc>
        <w:tc>
          <w:tcPr>
            <w:tcW w:w="12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Depreciation</w:t>
            </w:r>
          </w:p>
        </w:tc>
        <w:tc>
          <w:tcPr>
            <w:tcW w:w="9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6"/>
              </w:rPr>
              <w:t>depreciation and</w:t>
            </w:r>
          </w:p>
        </w:tc>
      </w:tr>
      <w:tr>
        <w:trPr>
          <w:trHeight w:val="135"/>
        </w:trPr>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9"/>
              </w:rPr>
              <w:t>attributable to</w:t>
            </w:r>
          </w:p>
        </w:tc>
        <w:tc>
          <w:tcPr>
            <w:tcW w:w="8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7"/>
              </w:rPr>
              <w:t>noncontrolling</w:t>
            </w:r>
          </w:p>
        </w:tc>
        <w:tc>
          <w:tcPr>
            <w:tcW w:w="100" w:type="dxa"/>
            <w:vAlign w:val="bottom"/>
          </w:tcPr>
          <w:p>
            <w:pPr>
              <w:spacing w:after="0"/>
              <w:rPr>
                <w:sz w:val="11"/>
                <w:szCs w:val="11"/>
                <w:color w:val="auto"/>
              </w:rPr>
            </w:pPr>
          </w:p>
        </w:tc>
        <w:tc>
          <w:tcPr>
            <w:tcW w:w="96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Provision for</w:t>
            </w:r>
          </w:p>
        </w:tc>
        <w:tc>
          <w:tcPr>
            <w:tcW w:w="120" w:type="dxa"/>
            <w:vAlign w:val="bottom"/>
          </w:tcPr>
          <w:p>
            <w:pPr>
              <w:spacing w:after="0"/>
              <w:rPr>
                <w:sz w:val="11"/>
                <w:szCs w:val="11"/>
                <w:color w:val="auto"/>
              </w:rPr>
            </w:pPr>
          </w:p>
        </w:tc>
        <w:tc>
          <w:tcPr>
            <w:tcW w:w="96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6"/>
              </w:rPr>
              <w:t>Net interest</w:t>
            </w:r>
          </w:p>
        </w:tc>
        <w:tc>
          <w:tcPr>
            <w:tcW w:w="116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4"/>
              </w:rPr>
              <w:t>and income taxes</w:t>
            </w:r>
          </w:p>
        </w:tc>
        <w:tc>
          <w:tcPr>
            <w:tcW w:w="12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and</w:t>
            </w:r>
          </w:p>
        </w:tc>
        <w:tc>
          <w:tcPr>
            <w:tcW w:w="100" w:type="dxa"/>
            <w:vAlign w:val="bottom"/>
          </w:tcPr>
          <w:p>
            <w:pPr>
              <w:spacing w:after="0"/>
              <w:rPr>
                <w:sz w:val="11"/>
                <w:szCs w:val="11"/>
                <w:color w:val="auto"/>
              </w:rPr>
            </w:pPr>
          </w:p>
        </w:tc>
        <w:tc>
          <w:tcPr>
            <w:tcW w:w="86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90"/>
              </w:rPr>
              <w:t>amortization</w:t>
            </w:r>
          </w:p>
        </w:tc>
      </w:tr>
      <w:tr>
        <w:trPr>
          <w:trHeight w:val="174"/>
        </w:trPr>
        <w:tc>
          <w:tcPr>
            <w:tcW w:w="1560" w:type="dxa"/>
            <w:vAlign w:val="bottom"/>
          </w:tcPr>
          <w:p>
            <w:pPr>
              <w:spacing w:after="0"/>
              <w:rPr>
                <w:sz w:val="15"/>
                <w:szCs w:val="15"/>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1"/>
              </w:rPr>
              <w:t>TechnipFMC plc</w:t>
            </w:r>
          </w:p>
        </w:tc>
        <w:tc>
          <w:tcPr>
            <w:tcW w:w="80" w:type="dxa"/>
            <w:vAlign w:val="bottom"/>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1"/>
              </w:rPr>
              <w:t>interests</w:t>
            </w:r>
          </w:p>
        </w:tc>
        <w:tc>
          <w:tcPr>
            <w:tcW w:w="100" w:type="dxa"/>
            <w:vAlign w:val="bottom"/>
          </w:tcPr>
          <w:p>
            <w:pPr>
              <w:spacing w:after="0"/>
              <w:rPr>
                <w:sz w:val="15"/>
                <w:szCs w:val="15"/>
                <w:color w:val="auto"/>
              </w:rPr>
            </w:pPr>
          </w:p>
        </w:tc>
        <w:tc>
          <w:tcPr>
            <w:tcW w:w="960" w:type="dxa"/>
            <w:vAlign w:val="bottom"/>
            <w:gridSpan w:val="2"/>
          </w:tcPr>
          <w:p>
            <w:pPr>
              <w:ind w:left="20"/>
              <w:spacing w:after="0"/>
              <w:rPr>
                <w:sz w:val="20"/>
                <w:szCs w:val="20"/>
                <w:color w:val="auto"/>
              </w:rPr>
            </w:pPr>
            <w:r>
              <w:rPr>
                <w:rFonts w:ascii="Arial" w:cs="Arial" w:eastAsia="Arial" w:hAnsi="Arial"/>
                <w:sz w:val="13"/>
                <w:szCs w:val="13"/>
                <w:b w:val="1"/>
                <w:bCs w:val="1"/>
                <w:color w:val="auto"/>
              </w:rPr>
              <w:t>income taxes</w:t>
            </w:r>
          </w:p>
        </w:tc>
        <w:tc>
          <w:tcPr>
            <w:tcW w:w="120" w:type="dxa"/>
            <w:vAlign w:val="bottom"/>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0"/>
              </w:rPr>
              <w:t>expense</w:t>
            </w:r>
          </w:p>
        </w:tc>
        <w:tc>
          <w:tcPr>
            <w:tcW w:w="116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9"/>
              </w:rPr>
              <w:t>(Operating profit)</w:t>
            </w:r>
          </w:p>
        </w:tc>
        <w:tc>
          <w:tcPr>
            <w:tcW w:w="12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amortization</w:t>
            </w:r>
          </w:p>
        </w:tc>
        <w:tc>
          <w:tcPr>
            <w:tcW w:w="100" w:type="dxa"/>
            <w:vAlign w:val="bottom"/>
          </w:tcPr>
          <w:p>
            <w:pPr>
              <w:spacing w:after="0"/>
              <w:rPr>
                <w:sz w:val="15"/>
                <w:szCs w:val="15"/>
                <w:color w:val="auto"/>
              </w:rPr>
            </w:pPr>
          </w:p>
        </w:tc>
        <w:tc>
          <w:tcPr>
            <w:tcW w:w="860" w:type="dxa"/>
            <w:vAlign w:val="bottom"/>
          </w:tcPr>
          <w:p>
            <w:pPr>
              <w:jc w:val="center"/>
              <w:ind w:right="57"/>
              <w:spacing w:after="0"/>
              <w:rPr>
                <w:sz w:val="20"/>
                <w:szCs w:val="20"/>
                <w:color w:val="auto"/>
              </w:rPr>
            </w:pPr>
            <w:r>
              <w:rPr>
                <w:rFonts w:ascii="Arial" w:cs="Arial" w:eastAsia="Arial" w:hAnsi="Arial"/>
                <w:sz w:val="13"/>
                <w:szCs w:val="13"/>
                <w:b w:val="1"/>
                <w:bCs w:val="1"/>
                <w:color w:val="auto"/>
              </w:rPr>
              <w:t>(EBITDA)</w:t>
            </w:r>
          </w:p>
        </w:tc>
      </w:tr>
      <w:tr>
        <w:trPr>
          <w:trHeight w:val="241"/>
        </w:trPr>
        <w:tc>
          <w:tcPr>
            <w:tcW w:w="1560" w:type="dxa"/>
            <w:vAlign w:val="bottom"/>
          </w:tcPr>
          <w:p>
            <w:pPr>
              <w:spacing w:after="0"/>
              <w:rPr>
                <w:sz w:val="20"/>
                <w:szCs w:val="20"/>
                <w:color w:val="auto"/>
              </w:rPr>
            </w:pPr>
            <w:r>
              <w:rPr>
                <w:rFonts w:ascii="Arial" w:cs="Arial" w:eastAsia="Arial" w:hAnsi="Arial"/>
                <w:sz w:val="13"/>
                <w:szCs w:val="13"/>
                <w:color w:val="auto"/>
                <w:w w:val="91"/>
              </w:rPr>
              <w:t>TechnipFMC plc, as reported</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136.9</w:t>
            </w:r>
          </w:p>
        </w:tc>
        <w:tc>
          <w:tcPr>
            <w:tcW w:w="120" w:type="dxa"/>
            <w:vAlign w:val="bottom"/>
          </w:tcPr>
          <w:p>
            <w:pPr>
              <w:spacing w:after="0"/>
              <w:rPr>
                <w:sz w:val="20"/>
                <w:szCs w:val="20"/>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2.7</w:t>
            </w:r>
          </w:p>
        </w:tc>
        <w:tc>
          <w:tcPr>
            <w:tcW w:w="1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66.7</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(106.0)</w:t>
            </w:r>
          </w:p>
        </w:tc>
        <w:tc>
          <w:tcPr>
            <w:tcW w:w="120" w:type="dxa"/>
            <w:vAlign w:val="bottom"/>
          </w:tcPr>
          <w:p>
            <w:pPr>
              <w:spacing w:after="0"/>
              <w:rPr>
                <w:sz w:val="20"/>
                <w:szCs w:val="20"/>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306.9</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142.0</w:t>
            </w:r>
          </w:p>
        </w:tc>
        <w:tc>
          <w:tcPr>
            <w:tcW w:w="1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448.9</w:t>
            </w:r>
          </w:p>
        </w:tc>
      </w:tr>
      <w:tr>
        <w:trPr>
          <w:trHeight w:val="486"/>
        </w:trPr>
        <w:tc>
          <w:tcPr>
            <w:tcW w:w="1560" w:type="dxa"/>
            <w:vAlign w:val="bottom"/>
          </w:tcPr>
          <w:p>
            <w:pPr>
              <w:spacing w:after="0"/>
              <w:rPr>
                <w:sz w:val="20"/>
                <w:szCs w:val="20"/>
                <w:color w:val="auto"/>
              </w:rPr>
            </w:pPr>
            <w:r>
              <w:rPr>
                <w:rFonts w:ascii="Arial" w:cs="Arial" w:eastAsia="Arial" w:hAnsi="Arial"/>
                <w:sz w:val="13"/>
                <w:szCs w:val="13"/>
                <w:color w:val="auto"/>
              </w:rPr>
              <w:t>Charges and (credits):</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4"/>
        </w:trPr>
        <w:tc>
          <w:tcPr>
            <w:tcW w:w="1560" w:type="dxa"/>
            <w:vAlign w:val="bottom"/>
          </w:tcPr>
          <w:p>
            <w:pPr>
              <w:ind w:left="240"/>
              <w:spacing w:after="0"/>
              <w:rPr>
                <w:sz w:val="20"/>
                <w:szCs w:val="20"/>
                <w:color w:val="auto"/>
              </w:rPr>
            </w:pPr>
            <w:r>
              <w:rPr>
                <w:rFonts w:ascii="Arial" w:cs="Arial" w:eastAsia="Arial" w:hAnsi="Arial"/>
                <w:sz w:val="13"/>
                <w:szCs w:val="13"/>
                <w:color w:val="auto"/>
              </w:rPr>
              <w:t>Impairment and other</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0"/>
        </w:trPr>
        <w:tc>
          <w:tcPr>
            <w:tcW w:w="1560" w:type="dxa"/>
            <w:vAlign w:val="bottom"/>
          </w:tcPr>
          <w:p>
            <w:pPr>
              <w:ind w:left="240"/>
              <w:spacing w:after="0"/>
              <w:rPr>
                <w:sz w:val="20"/>
                <w:szCs w:val="20"/>
                <w:color w:val="auto"/>
              </w:rPr>
            </w:pPr>
            <w:r>
              <w:rPr>
                <w:rFonts w:ascii="Arial" w:cs="Arial" w:eastAsia="Arial" w:hAnsi="Arial"/>
                <w:sz w:val="13"/>
                <w:szCs w:val="13"/>
                <w:color w:val="auto"/>
              </w:rPr>
              <w:t>charges</w:t>
            </w:r>
          </w:p>
        </w:tc>
        <w:tc>
          <w:tcPr>
            <w:tcW w:w="100" w:type="dxa"/>
            <w:vAlign w:val="bottom"/>
          </w:tcPr>
          <w:p>
            <w:pPr>
              <w:spacing w:after="0"/>
              <w:rPr>
                <w:sz w:val="13"/>
                <w:szCs w:val="13"/>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0.3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1.6</w:t>
            </w:r>
          </w:p>
        </w:tc>
      </w:tr>
      <w:tr>
        <w:trPr>
          <w:trHeight w:val="164"/>
        </w:trPr>
        <w:tc>
          <w:tcPr>
            <w:tcW w:w="1560" w:type="dxa"/>
            <w:vAlign w:val="bottom"/>
          </w:tcPr>
          <w:p>
            <w:pPr>
              <w:ind w:left="240"/>
              <w:spacing w:after="0"/>
              <w:rPr>
                <w:sz w:val="20"/>
                <w:szCs w:val="20"/>
                <w:color w:val="auto"/>
              </w:rPr>
            </w:pPr>
            <w:r>
              <w:rPr>
                <w:rFonts w:ascii="Arial" w:cs="Arial" w:eastAsia="Arial" w:hAnsi="Arial"/>
                <w:sz w:val="13"/>
                <w:szCs w:val="13"/>
                <w:color w:val="auto"/>
                <w:w w:val="95"/>
              </w:rPr>
              <w:t>Restructuring and other</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0"/>
        </w:trPr>
        <w:tc>
          <w:tcPr>
            <w:tcW w:w="1560" w:type="dxa"/>
            <w:vAlign w:val="bottom"/>
          </w:tcPr>
          <w:p>
            <w:pPr>
              <w:ind w:left="240"/>
              <w:spacing w:after="0"/>
              <w:rPr>
                <w:sz w:val="20"/>
                <w:szCs w:val="20"/>
                <w:color w:val="auto"/>
              </w:rPr>
            </w:pPr>
            <w:r>
              <w:rPr>
                <w:rFonts w:ascii="Arial" w:cs="Arial" w:eastAsia="Arial" w:hAnsi="Arial"/>
                <w:sz w:val="13"/>
                <w:szCs w:val="13"/>
                <w:color w:val="auto"/>
              </w:rPr>
              <w:t>severance charges</w:t>
            </w:r>
          </w:p>
        </w:tc>
        <w:tc>
          <w:tcPr>
            <w:tcW w:w="100" w:type="dxa"/>
            <w:vAlign w:val="bottom"/>
          </w:tcPr>
          <w:p>
            <w:pPr>
              <w:spacing w:after="0"/>
              <w:rPr>
                <w:sz w:val="13"/>
                <w:szCs w:val="13"/>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4.7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3.4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8.1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8.1</w:t>
            </w:r>
          </w:p>
        </w:tc>
      </w:tr>
      <w:tr>
        <w:trPr>
          <w:trHeight w:val="164"/>
        </w:trPr>
        <w:tc>
          <w:tcPr>
            <w:tcW w:w="1560" w:type="dxa"/>
            <w:vAlign w:val="bottom"/>
          </w:tcPr>
          <w:p>
            <w:pPr>
              <w:ind w:left="240"/>
              <w:spacing w:after="0"/>
              <w:rPr>
                <w:sz w:val="20"/>
                <w:szCs w:val="20"/>
                <w:color w:val="auto"/>
              </w:rPr>
            </w:pPr>
            <w:r>
              <w:rPr>
                <w:rFonts w:ascii="Arial" w:cs="Arial" w:eastAsia="Arial" w:hAnsi="Arial"/>
                <w:sz w:val="13"/>
                <w:szCs w:val="13"/>
                <w:color w:val="auto"/>
              </w:rPr>
              <w:t>Business combination</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35"/>
        </w:trPr>
        <w:tc>
          <w:tcPr>
            <w:tcW w:w="1560" w:type="dxa"/>
            <w:vAlign w:val="bottom"/>
          </w:tcPr>
          <w:p>
            <w:pPr>
              <w:ind w:left="240"/>
              <w:spacing w:after="0" w:line="135" w:lineRule="exact"/>
              <w:rPr>
                <w:sz w:val="20"/>
                <w:szCs w:val="20"/>
                <w:color w:val="auto"/>
              </w:rPr>
            </w:pPr>
            <w:r>
              <w:rPr>
                <w:rFonts w:ascii="Arial" w:cs="Arial" w:eastAsia="Arial" w:hAnsi="Arial"/>
                <w:sz w:val="13"/>
                <w:szCs w:val="13"/>
                <w:color w:val="auto"/>
              </w:rPr>
              <w:t>transaction and</w:t>
            </w: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60"/>
        </w:trPr>
        <w:tc>
          <w:tcPr>
            <w:tcW w:w="1560" w:type="dxa"/>
            <w:vAlign w:val="bottom"/>
          </w:tcPr>
          <w:p>
            <w:pPr>
              <w:ind w:left="240"/>
              <w:spacing w:after="0"/>
              <w:rPr>
                <w:sz w:val="20"/>
                <w:szCs w:val="20"/>
                <w:color w:val="auto"/>
              </w:rPr>
            </w:pPr>
            <w:r>
              <w:rPr>
                <w:rFonts w:ascii="Arial" w:cs="Arial" w:eastAsia="Arial" w:hAnsi="Arial"/>
                <w:sz w:val="13"/>
                <w:szCs w:val="13"/>
                <w:color w:val="auto"/>
              </w:rPr>
              <w:t>integration costs</w:t>
            </w:r>
          </w:p>
        </w:tc>
        <w:tc>
          <w:tcPr>
            <w:tcW w:w="100" w:type="dxa"/>
            <w:vAlign w:val="bottom"/>
          </w:tcPr>
          <w:p>
            <w:pPr>
              <w:spacing w:after="0"/>
              <w:rPr>
                <w:sz w:val="13"/>
                <w:szCs w:val="13"/>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3.3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6.3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6.3</w:t>
            </w:r>
          </w:p>
        </w:tc>
      </w:tr>
      <w:tr>
        <w:trPr>
          <w:trHeight w:val="270"/>
        </w:trPr>
        <w:tc>
          <w:tcPr>
            <w:tcW w:w="1560" w:type="dxa"/>
            <w:vAlign w:val="bottom"/>
          </w:tcPr>
          <w:p>
            <w:pPr>
              <w:ind w:left="240"/>
              <w:spacing w:after="0"/>
              <w:rPr>
                <w:sz w:val="20"/>
                <w:szCs w:val="20"/>
                <w:color w:val="auto"/>
              </w:rPr>
            </w:pPr>
            <w:r>
              <w:rPr>
                <w:rFonts w:ascii="Arial" w:cs="Arial" w:eastAsia="Arial" w:hAnsi="Arial"/>
                <w:sz w:val="13"/>
                <w:szCs w:val="13"/>
                <w:color w:val="auto"/>
              </w:rPr>
              <w:t>Gain on divestitures</w:t>
            </w: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(21.1)</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(10.5)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(31.6)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(31.6)</w:t>
            </w:r>
          </w:p>
        </w:tc>
      </w:tr>
      <w:tr>
        <w:trPr>
          <w:trHeight w:val="164"/>
        </w:trPr>
        <w:tc>
          <w:tcPr>
            <w:tcW w:w="1560" w:type="dxa"/>
            <w:vAlign w:val="bottom"/>
          </w:tcPr>
          <w:p>
            <w:pPr>
              <w:ind w:left="240"/>
              <w:spacing w:after="0"/>
              <w:rPr>
                <w:sz w:val="20"/>
                <w:szCs w:val="20"/>
                <w:color w:val="auto"/>
              </w:rPr>
            </w:pPr>
            <w:r>
              <w:rPr>
                <w:rFonts w:ascii="Arial" w:cs="Arial" w:eastAsia="Arial" w:hAnsi="Arial"/>
                <w:sz w:val="13"/>
                <w:szCs w:val="13"/>
                <w:color w:val="auto"/>
              </w:rPr>
              <w:t>Purchase price</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0"/>
        </w:trPr>
        <w:tc>
          <w:tcPr>
            <w:tcW w:w="1560" w:type="dxa"/>
            <w:vAlign w:val="bottom"/>
          </w:tcPr>
          <w:p>
            <w:pPr>
              <w:ind w:left="240"/>
              <w:spacing w:after="0"/>
              <w:rPr>
                <w:sz w:val="20"/>
                <w:szCs w:val="20"/>
                <w:color w:val="auto"/>
              </w:rPr>
            </w:pPr>
            <w:r>
              <w:rPr>
                <w:rFonts w:ascii="Arial" w:cs="Arial" w:eastAsia="Arial" w:hAnsi="Arial"/>
                <w:sz w:val="13"/>
                <w:szCs w:val="13"/>
                <w:color w:val="auto"/>
                <w:w w:val="99"/>
              </w:rPr>
              <w:t>accounting adjustment</w:t>
            </w:r>
          </w:p>
        </w:tc>
        <w:tc>
          <w:tcPr>
            <w:tcW w:w="100" w:type="dxa"/>
            <w:vAlign w:val="bottom"/>
          </w:tcPr>
          <w:p>
            <w:pPr>
              <w:spacing w:after="0"/>
              <w:rPr>
                <w:sz w:val="14"/>
                <w:szCs w:val="14"/>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15.7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4.8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20.5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(23.3)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(2.8)</w:t>
            </w:r>
          </w:p>
        </w:tc>
      </w:tr>
      <w:tr>
        <w:trPr>
          <w:trHeight w:val="242"/>
        </w:trPr>
        <w:tc>
          <w:tcPr>
            <w:tcW w:w="1560" w:type="dxa"/>
            <w:vAlign w:val="bottom"/>
          </w:tcPr>
          <w:p>
            <w:pPr>
              <w:spacing w:after="0"/>
              <w:rPr>
                <w:sz w:val="20"/>
                <w:szCs w:val="20"/>
                <w:color w:val="auto"/>
              </w:rPr>
            </w:pPr>
            <w:r>
              <w:rPr>
                <w:rFonts w:ascii="Arial" w:cs="Arial" w:eastAsia="Arial" w:hAnsi="Arial"/>
                <w:sz w:val="13"/>
                <w:szCs w:val="13"/>
                <w:color w:val="auto"/>
                <w:w w:val="94"/>
              </w:rPr>
              <w:t>Adjusted financial measures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139.8</w:t>
            </w:r>
          </w:p>
        </w:tc>
        <w:tc>
          <w:tcPr>
            <w:tcW w:w="120" w:type="dxa"/>
            <w:vAlign w:val="bottom"/>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2.7</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68.7</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(106.0)</w:t>
            </w:r>
          </w:p>
        </w:tc>
        <w:tc>
          <w:tcPr>
            <w:tcW w:w="120" w:type="dxa"/>
            <w:vAlign w:val="bottom"/>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311.8</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118.7</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430.5</w:t>
            </w:r>
          </w:p>
        </w:tc>
      </w:tr>
      <w:tr>
        <w:trPr>
          <w:trHeight w:val="20"/>
        </w:trPr>
        <w:tc>
          <w:tcPr>
            <w:tcW w:w="1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1866265</wp:posOffset>
            </wp:positionH>
            <wp:positionV relativeFrom="paragraph">
              <wp:posOffset>497205</wp:posOffset>
            </wp:positionV>
            <wp:extent cx="46653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6653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left="1820"/>
        <w:spacing w:after="0"/>
        <w:rPr>
          <w:sz w:val="20"/>
          <w:szCs w:val="20"/>
          <w:color w:val="auto"/>
        </w:rPr>
      </w:pPr>
      <w:r>
        <w:rPr>
          <w:rFonts w:ascii="Arial" w:cs="Arial" w:eastAsia="Arial" w:hAnsi="Arial"/>
          <w:sz w:val="13"/>
          <w:szCs w:val="13"/>
          <w:b w:val="1"/>
          <w:bCs w:val="1"/>
          <w:color w:val="auto"/>
        </w:rPr>
        <w:t>Three Months Ended</w:t>
      </w:r>
    </w:p>
    <w:p>
      <w:pPr>
        <w:spacing w:after="0" w:line="40" w:lineRule="exact"/>
        <w:rPr>
          <w:sz w:val="20"/>
          <w:szCs w:val="20"/>
          <w:color w:val="auto"/>
        </w:rPr>
      </w:pPr>
    </w:p>
    <w:p>
      <w:pPr>
        <w:jc w:val="center"/>
        <w:ind w:left="1820"/>
        <w:spacing w:after="0"/>
        <w:rPr>
          <w:sz w:val="20"/>
          <w:szCs w:val="20"/>
          <w:color w:val="auto"/>
        </w:rPr>
      </w:pPr>
      <w:r>
        <w:rPr>
          <w:rFonts w:ascii="Arial" w:cs="Arial" w:eastAsia="Arial" w:hAnsi="Arial"/>
          <w:sz w:val="13"/>
          <w:szCs w:val="13"/>
          <w:b w:val="1"/>
          <w:bCs w:val="1"/>
          <w:color w:val="auto"/>
        </w:rPr>
        <w:t>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1866265</wp:posOffset>
            </wp:positionH>
            <wp:positionV relativeFrom="paragraph">
              <wp:posOffset>71120</wp:posOffset>
            </wp:positionV>
            <wp:extent cx="46653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665345" cy="8890"/>
                    </a:xfrm>
                    <a:prstGeom prst="rect">
                      <a:avLst/>
                    </a:prstGeom>
                    <a:noFill/>
                  </pic:spPr>
                </pic:pic>
              </a:graphicData>
            </a:graphic>
          </wp:anchor>
        </w:drawing>
      </w:r>
    </w:p>
    <w:p>
      <w:pPr>
        <w:spacing w:after="0" w:line="100" w:lineRule="exact"/>
        <w:rPr>
          <w:sz w:val="20"/>
          <w:szCs w:val="20"/>
          <w:color w:val="auto"/>
        </w:rPr>
      </w:pPr>
    </w:p>
    <w:tbl>
      <w:tblPr>
        <w:tblLayout w:type="fixed"/>
        <w:tblInd w:w="1180" w:type="dxa"/>
        <w:tblCellMar>
          <w:top w:w="0" w:type="dxa"/>
          <w:left w:w="0" w:type="dxa"/>
          <w:bottom w:w="0" w:type="dxa"/>
          <w:right w:w="0" w:type="dxa"/>
        </w:tblCellMar>
      </w:tblPr>
      <w:tr>
        <w:trPr>
          <w:trHeight w:val="149"/>
        </w:trPr>
        <w:tc>
          <w:tcPr>
            <w:tcW w:w="1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Earnings before</w:t>
            </w:r>
          </w:p>
        </w:tc>
      </w:tr>
      <w:tr>
        <w:trPr>
          <w:trHeight w:val="135"/>
        </w:trPr>
        <w:tc>
          <w:tcPr>
            <w:tcW w:w="1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5"/>
              </w:rPr>
              <w:t>net interest</w:t>
            </w:r>
          </w:p>
        </w:tc>
      </w:tr>
      <w:tr>
        <w:trPr>
          <w:trHeight w:val="135"/>
        </w:trPr>
        <w:tc>
          <w:tcPr>
            <w:tcW w:w="1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Income before</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78"/>
              </w:rPr>
              <w:t>expense,</w:t>
            </w:r>
          </w:p>
        </w:tc>
      </w:tr>
      <w:tr>
        <w:trPr>
          <w:trHeight w:val="135"/>
        </w:trPr>
        <w:tc>
          <w:tcPr>
            <w:tcW w:w="1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5"/>
              </w:rPr>
              <w:t>net interest</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3"/>
              </w:rPr>
              <w:t>income taxes,</w:t>
            </w:r>
          </w:p>
        </w:tc>
      </w:tr>
      <w:tr>
        <w:trPr>
          <w:trHeight w:val="135"/>
        </w:trPr>
        <w:tc>
          <w:tcPr>
            <w:tcW w:w="1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8"/>
              </w:rPr>
              <w:t>Net income</w:t>
            </w:r>
          </w:p>
        </w:tc>
        <w:tc>
          <w:tcPr>
            <w:tcW w:w="112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4"/>
              </w:rPr>
              <w:t>Net loss (income)</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3"/>
              </w:rPr>
              <w:t>expense and</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7"/>
              </w:rPr>
              <w:t>depreciation</w:t>
            </w:r>
          </w:p>
        </w:tc>
      </w:tr>
      <w:tr>
        <w:trPr>
          <w:trHeight w:val="135"/>
        </w:trPr>
        <w:tc>
          <w:tcPr>
            <w:tcW w:w="1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9"/>
              </w:rPr>
              <w:t>attributable to</w:t>
            </w:r>
          </w:p>
        </w:tc>
        <w:tc>
          <w:tcPr>
            <w:tcW w:w="100" w:type="dxa"/>
            <w:vAlign w:val="bottom"/>
          </w:tcPr>
          <w:p>
            <w:pPr>
              <w:spacing w:after="0"/>
              <w:rPr>
                <w:sz w:val="11"/>
                <w:szCs w:val="11"/>
                <w:color w:val="auto"/>
              </w:rPr>
            </w:pPr>
          </w:p>
        </w:tc>
        <w:tc>
          <w:tcPr>
            <w:tcW w:w="10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9"/>
              </w:rPr>
              <w:t>attributable to</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4"/>
              </w:rPr>
              <w:t>income taxes</w:t>
            </w:r>
          </w:p>
        </w:tc>
        <w:tc>
          <w:tcPr>
            <w:tcW w:w="10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Depreciation</w:t>
            </w:r>
          </w:p>
        </w:tc>
        <w:tc>
          <w:tcPr>
            <w:tcW w:w="100" w:type="dxa"/>
            <w:vAlign w:val="bottom"/>
          </w:tcPr>
          <w:p>
            <w:pPr>
              <w:spacing w:after="0"/>
              <w:rPr>
                <w:sz w:val="11"/>
                <w:szCs w:val="11"/>
                <w:color w:val="auto"/>
              </w:rPr>
            </w:pPr>
          </w:p>
        </w:tc>
        <w:tc>
          <w:tcPr>
            <w:tcW w:w="82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6"/>
              </w:rPr>
              <w:t>and</w:t>
            </w:r>
          </w:p>
        </w:tc>
      </w:tr>
      <w:tr>
        <w:trPr>
          <w:trHeight w:val="135"/>
        </w:trPr>
        <w:tc>
          <w:tcPr>
            <w:tcW w:w="1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9"/>
              </w:rPr>
              <w:t>TechnipFMC</w:t>
            </w:r>
          </w:p>
        </w:tc>
        <w:tc>
          <w:tcPr>
            <w:tcW w:w="10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noncontrolling</w:t>
            </w:r>
          </w:p>
        </w:tc>
        <w:tc>
          <w:tcPr>
            <w:tcW w:w="80" w:type="dxa"/>
            <w:vAlign w:val="bottom"/>
          </w:tcPr>
          <w:p>
            <w:pPr>
              <w:spacing w:after="0"/>
              <w:rPr>
                <w:sz w:val="11"/>
                <w:szCs w:val="11"/>
                <w:color w:val="auto"/>
              </w:rPr>
            </w:pPr>
          </w:p>
        </w:tc>
        <w:tc>
          <w:tcPr>
            <w:tcW w:w="94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Provision for</w:t>
            </w:r>
          </w:p>
        </w:tc>
        <w:tc>
          <w:tcPr>
            <w:tcW w:w="12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Net interest</w:t>
            </w:r>
          </w:p>
        </w:tc>
        <w:tc>
          <w:tcPr>
            <w:tcW w:w="10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1"/>
              </w:rPr>
              <w:t>(Operating</w:t>
            </w:r>
          </w:p>
        </w:tc>
        <w:tc>
          <w:tcPr>
            <w:tcW w:w="100" w:type="dxa"/>
            <w:vAlign w:val="bottom"/>
          </w:tcPr>
          <w:p>
            <w:pPr>
              <w:spacing w:after="0"/>
              <w:rPr>
                <w:sz w:val="11"/>
                <w:szCs w:val="11"/>
                <w:color w:val="auto"/>
              </w:rPr>
            </w:pPr>
          </w:p>
        </w:tc>
        <w:tc>
          <w:tcPr>
            <w:tcW w:w="96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6"/>
              </w:rPr>
              <w:t>and</w:t>
            </w:r>
          </w:p>
        </w:tc>
        <w:tc>
          <w:tcPr>
            <w:tcW w:w="100" w:type="dxa"/>
            <w:vAlign w:val="bottom"/>
          </w:tcPr>
          <w:p>
            <w:pPr>
              <w:spacing w:after="0"/>
              <w:rPr>
                <w:sz w:val="11"/>
                <w:szCs w:val="11"/>
                <w:color w:val="auto"/>
              </w:rPr>
            </w:pPr>
          </w:p>
        </w:tc>
        <w:tc>
          <w:tcPr>
            <w:tcW w:w="82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7"/>
              </w:rPr>
              <w:t>amortization</w:t>
            </w:r>
          </w:p>
        </w:tc>
      </w:tr>
      <w:tr>
        <w:trPr>
          <w:trHeight w:val="174"/>
        </w:trPr>
        <w:tc>
          <w:tcPr>
            <w:tcW w:w="1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4"/>
              </w:rPr>
              <w:t>plc</w:t>
            </w:r>
          </w:p>
        </w:tc>
        <w:tc>
          <w:tcPr>
            <w:tcW w:w="10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1"/>
              </w:rPr>
              <w:t>interests</w:t>
            </w:r>
          </w:p>
        </w:tc>
        <w:tc>
          <w:tcPr>
            <w:tcW w:w="80" w:type="dxa"/>
            <w:vAlign w:val="bottom"/>
          </w:tcPr>
          <w:p>
            <w:pPr>
              <w:spacing w:after="0"/>
              <w:rPr>
                <w:sz w:val="15"/>
                <w:szCs w:val="15"/>
                <w:color w:val="auto"/>
              </w:rPr>
            </w:pPr>
          </w:p>
        </w:tc>
        <w:tc>
          <w:tcPr>
            <w:tcW w:w="940" w:type="dxa"/>
            <w:vAlign w:val="bottom"/>
            <w:gridSpan w:val="2"/>
          </w:tcPr>
          <w:p>
            <w:pPr>
              <w:ind w:left="20"/>
              <w:spacing w:after="0"/>
              <w:rPr>
                <w:sz w:val="20"/>
                <w:szCs w:val="20"/>
                <w:color w:val="auto"/>
              </w:rPr>
            </w:pPr>
            <w:r>
              <w:rPr>
                <w:rFonts w:ascii="Arial" w:cs="Arial" w:eastAsia="Arial" w:hAnsi="Arial"/>
                <w:sz w:val="13"/>
                <w:szCs w:val="13"/>
                <w:b w:val="1"/>
                <w:bCs w:val="1"/>
                <w:color w:val="auto"/>
              </w:rPr>
              <w:t>income taxes</w:t>
            </w:r>
          </w:p>
        </w:tc>
        <w:tc>
          <w:tcPr>
            <w:tcW w:w="12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0"/>
              </w:rPr>
              <w:t>expense</w:t>
            </w:r>
          </w:p>
        </w:tc>
        <w:tc>
          <w:tcPr>
            <w:tcW w:w="10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profit)</w:t>
            </w:r>
          </w:p>
        </w:tc>
        <w:tc>
          <w:tcPr>
            <w:tcW w:w="100" w:type="dxa"/>
            <w:vAlign w:val="bottom"/>
          </w:tcPr>
          <w:p>
            <w:pPr>
              <w:spacing w:after="0"/>
              <w:rPr>
                <w:sz w:val="15"/>
                <w:szCs w:val="15"/>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amortization</w:t>
            </w:r>
          </w:p>
        </w:tc>
        <w:tc>
          <w:tcPr>
            <w:tcW w:w="100" w:type="dxa"/>
            <w:vAlign w:val="bottom"/>
          </w:tcPr>
          <w:p>
            <w:pPr>
              <w:spacing w:after="0"/>
              <w:rPr>
                <w:sz w:val="15"/>
                <w:szCs w:val="15"/>
                <w:color w:val="auto"/>
              </w:rPr>
            </w:pPr>
          </w:p>
        </w:tc>
        <w:tc>
          <w:tcPr>
            <w:tcW w:w="820" w:type="dxa"/>
            <w:vAlign w:val="bottom"/>
          </w:tcPr>
          <w:p>
            <w:pPr>
              <w:jc w:val="center"/>
              <w:ind w:right="37"/>
              <w:spacing w:after="0"/>
              <w:rPr>
                <w:sz w:val="20"/>
                <w:szCs w:val="20"/>
                <w:color w:val="auto"/>
              </w:rPr>
            </w:pPr>
            <w:r>
              <w:rPr>
                <w:rFonts w:ascii="Arial" w:cs="Arial" w:eastAsia="Arial" w:hAnsi="Arial"/>
                <w:sz w:val="13"/>
                <w:szCs w:val="13"/>
                <w:b w:val="1"/>
                <w:bCs w:val="1"/>
                <w:color w:val="auto"/>
                <w:w w:val="98"/>
              </w:rPr>
              <w:t>(EBITDA)</w:t>
            </w:r>
          </w:p>
        </w:tc>
      </w:tr>
      <w:tr>
        <w:trPr>
          <w:trHeight w:val="241"/>
        </w:trPr>
        <w:tc>
          <w:tcPr>
            <w:tcW w:w="1760" w:type="dxa"/>
            <w:vAlign w:val="bottom"/>
          </w:tcPr>
          <w:p>
            <w:pPr>
              <w:spacing w:after="0"/>
              <w:rPr>
                <w:sz w:val="20"/>
                <w:szCs w:val="20"/>
                <w:color w:val="auto"/>
              </w:rPr>
            </w:pPr>
            <w:r>
              <w:rPr>
                <w:rFonts w:ascii="Arial" w:cs="Arial" w:eastAsia="Arial" w:hAnsi="Arial"/>
                <w:sz w:val="13"/>
                <w:szCs w:val="13"/>
                <w:color w:val="auto"/>
              </w:rPr>
              <w:t>TechnipFMC plc, as reported</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121.0</w:t>
            </w:r>
          </w:p>
        </w:tc>
        <w:tc>
          <w:tcPr>
            <w:tcW w:w="10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3.1</w:t>
            </w:r>
          </w:p>
        </w:tc>
        <w:tc>
          <w:tcPr>
            <w:tcW w:w="120" w:type="dxa"/>
            <w:vAlign w:val="bottom"/>
          </w:tcPr>
          <w:p>
            <w:pPr>
              <w:spacing w:after="0"/>
              <w:rPr>
                <w:sz w:val="20"/>
                <w:szCs w:val="20"/>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111.7</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(86.3)</w:t>
            </w:r>
          </w:p>
        </w:tc>
        <w:tc>
          <w:tcPr>
            <w:tcW w:w="10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315.9</w:t>
            </w:r>
          </w:p>
        </w:tc>
        <w:tc>
          <w:tcPr>
            <w:tcW w:w="10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151.0</w:t>
            </w:r>
          </w:p>
        </w:tc>
        <w:tc>
          <w:tcPr>
            <w:tcW w:w="10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466.9</w:t>
            </w:r>
          </w:p>
        </w:tc>
      </w:tr>
      <w:tr>
        <w:trPr>
          <w:trHeight w:val="486"/>
        </w:trPr>
        <w:tc>
          <w:tcPr>
            <w:tcW w:w="1760" w:type="dxa"/>
            <w:vAlign w:val="bottom"/>
          </w:tcPr>
          <w:p>
            <w:pPr>
              <w:spacing w:after="0"/>
              <w:rPr>
                <w:sz w:val="20"/>
                <w:szCs w:val="20"/>
                <w:color w:val="auto"/>
              </w:rPr>
            </w:pPr>
            <w:r>
              <w:rPr>
                <w:rFonts w:ascii="Arial" w:cs="Arial" w:eastAsia="Arial" w:hAnsi="Arial"/>
                <w:sz w:val="13"/>
                <w:szCs w:val="13"/>
                <w:color w:val="auto"/>
              </w:rPr>
              <w:t>Charges and (credits):</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4"/>
        </w:trPr>
        <w:tc>
          <w:tcPr>
            <w:tcW w:w="1760" w:type="dxa"/>
            <w:vAlign w:val="bottom"/>
          </w:tcPr>
          <w:p>
            <w:pPr>
              <w:ind w:left="240"/>
              <w:spacing w:after="0"/>
              <w:rPr>
                <w:sz w:val="20"/>
                <w:szCs w:val="20"/>
                <w:color w:val="auto"/>
              </w:rPr>
            </w:pPr>
            <w:r>
              <w:rPr>
                <w:rFonts w:ascii="Arial" w:cs="Arial" w:eastAsia="Arial" w:hAnsi="Arial"/>
                <w:sz w:val="13"/>
                <w:szCs w:val="13"/>
                <w:color w:val="auto"/>
              </w:rPr>
              <w:t>Impairment and other</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0"/>
        </w:trPr>
        <w:tc>
          <w:tcPr>
            <w:tcW w:w="1760" w:type="dxa"/>
            <w:vAlign w:val="bottom"/>
          </w:tcPr>
          <w:p>
            <w:pPr>
              <w:ind w:left="240"/>
              <w:spacing w:after="0"/>
              <w:rPr>
                <w:sz w:val="20"/>
                <w:szCs w:val="20"/>
                <w:color w:val="auto"/>
              </w:rPr>
            </w:pPr>
            <w:r>
              <w:rPr>
                <w:rFonts w:ascii="Arial" w:cs="Arial" w:eastAsia="Arial" w:hAnsi="Arial"/>
                <w:sz w:val="13"/>
                <w:szCs w:val="13"/>
                <w:color w:val="auto"/>
              </w:rPr>
              <w:t>charges</w:t>
            </w:r>
          </w:p>
        </w:tc>
        <w:tc>
          <w:tcPr>
            <w:tcW w:w="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8.2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8.2</w:t>
            </w:r>
          </w:p>
        </w:tc>
      </w:tr>
      <w:tr>
        <w:trPr>
          <w:trHeight w:val="164"/>
        </w:trPr>
        <w:tc>
          <w:tcPr>
            <w:tcW w:w="1760" w:type="dxa"/>
            <w:vAlign w:val="bottom"/>
          </w:tcPr>
          <w:p>
            <w:pPr>
              <w:ind w:left="240"/>
              <w:spacing w:after="0"/>
              <w:rPr>
                <w:sz w:val="20"/>
                <w:szCs w:val="20"/>
                <w:color w:val="auto"/>
              </w:rPr>
            </w:pPr>
            <w:r>
              <w:rPr>
                <w:rFonts w:ascii="Arial" w:cs="Arial" w:eastAsia="Arial" w:hAnsi="Arial"/>
                <w:sz w:val="13"/>
                <w:szCs w:val="13"/>
                <w:color w:val="auto"/>
              </w:rPr>
              <w:t>Restructuring and other</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0"/>
        </w:trPr>
        <w:tc>
          <w:tcPr>
            <w:tcW w:w="1760" w:type="dxa"/>
            <w:vAlign w:val="bottom"/>
          </w:tcPr>
          <w:p>
            <w:pPr>
              <w:ind w:left="240"/>
              <w:spacing w:after="0"/>
              <w:rPr>
                <w:sz w:val="20"/>
                <w:szCs w:val="20"/>
                <w:color w:val="auto"/>
              </w:rPr>
            </w:pPr>
            <w:r>
              <w:rPr>
                <w:rFonts w:ascii="Arial" w:cs="Arial" w:eastAsia="Arial" w:hAnsi="Arial"/>
                <w:sz w:val="13"/>
                <w:szCs w:val="13"/>
                <w:color w:val="auto"/>
              </w:rPr>
              <w:t>severance charges</w:t>
            </w:r>
          </w:p>
        </w:tc>
        <w:tc>
          <w:tcPr>
            <w:tcW w:w="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31.3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19.9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51.2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51.2</w:t>
            </w:r>
          </w:p>
        </w:tc>
      </w:tr>
      <w:tr>
        <w:trPr>
          <w:trHeight w:val="164"/>
        </w:trPr>
        <w:tc>
          <w:tcPr>
            <w:tcW w:w="1760" w:type="dxa"/>
            <w:vAlign w:val="bottom"/>
          </w:tcPr>
          <w:p>
            <w:pPr>
              <w:ind w:left="240"/>
              <w:spacing w:after="0"/>
              <w:rPr>
                <w:sz w:val="20"/>
                <w:szCs w:val="20"/>
                <w:color w:val="auto"/>
              </w:rPr>
            </w:pPr>
            <w:r>
              <w:rPr>
                <w:rFonts w:ascii="Arial" w:cs="Arial" w:eastAsia="Arial" w:hAnsi="Arial"/>
                <w:sz w:val="13"/>
                <w:szCs w:val="13"/>
                <w:color w:val="auto"/>
              </w:rPr>
              <w:t>Business combination</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35"/>
        </w:trPr>
        <w:tc>
          <w:tcPr>
            <w:tcW w:w="1760" w:type="dxa"/>
            <w:vAlign w:val="bottom"/>
          </w:tcPr>
          <w:p>
            <w:pPr>
              <w:ind w:left="240"/>
              <w:spacing w:after="0" w:line="135" w:lineRule="exact"/>
              <w:rPr>
                <w:sz w:val="20"/>
                <w:szCs w:val="20"/>
                <w:color w:val="auto"/>
              </w:rPr>
            </w:pPr>
            <w:r>
              <w:rPr>
                <w:rFonts w:ascii="Arial" w:cs="Arial" w:eastAsia="Arial" w:hAnsi="Arial"/>
                <w:sz w:val="13"/>
                <w:szCs w:val="13"/>
                <w:color w:val="auto"/>
                <w:w w:val="97"/>
              </w:rPr>
              <w:t>transaction and integration</w:t>
            </w: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60"/>
        </w:trPr>
        <w:tc>
          <w:tcPr>
            <w:tcW w:w="1760" w:type="dxa"/>
            <w:vAlign w:val="bottom"/>
          </w:tcPr>
          <w:p>
            <w:pPr>
              <w:ind w:left="240"/>
              <w:spacing w:after="0"/>
              <w:rPr>
                <w:sz w:val="20"/>
                <w:szCs w:val="20"/>
                <w:color w:val="auto"/>
              </w:rPr>
            </w:pPr>
            <w:r>
              <w:rPr>
                <w:rFonts w:ascii="Arial" w:cs="Arial" w:eastAsia="Arial" w:hAnsi="Arial"/>
                <w:sz w:val="13"/>
                <w:szCs w:val="13"/>
                <w:color w:val="auto"/>
              </w:rPr>
              <w:t>costs</w:t>
            </w:r>
          </w:p>
        </w:tc>
        <w:tc>
          <w:tcPr>
            <w:tcW w:w="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9.2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9.2</w:t>
            </w:r>
          </w:p>
        </w:tc>
      </w:tr>
      <w:tr>
        <w:trPr>
          <w:trHeight w:val="164"/>
        </w:trPr>
        <w:tc>
          <w:tcPr>
            <w:tcW w:w="1760" w:type="dxa"/>
            <w:vAlign w:val="bottom"/>
          </w:tcPr>
          <w:p>
            <w:pPr>
              <w:ind w:left="240"/>
              <w:spacing w:after="0"/>
              <w:rPr>
                <w:sz w:val="20"/>
                <w:szCs w:val="20"/>
                <w:color w:val="auto"/>
              </w:rPr>
            </w:pPr>
            <w:r>
              <w:rPr>
                <w:rFonts w:ascii="Arial" w:cs="Arial" w:eastAsia="Arial" w:hAnsi="Arial"/>
                <w:sz w:val="13"/>
                <w:szCs w:val="13"/>
                <w:color w:val="auto"/>
                <w:w w:val="97"/>
              </w:rPr>
              <w:t>Purchase price accounting</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0"/>
        </w:trPr>
        <w:tc>
          <w:tcPr>
            <w:tcW w:w="1760" w:type="dxa"/>
            <w:vAlign w:val="bottom"/>
          </w:tcPr>
          <w:p>
            <w:pPr>
              <w:ind w:left="240"/>
              <w:spacing w:after="0"/>
              <w:rPr>
                <w:sz w:val="20"/>
                <w:szCs w:val="20"/>
                <w:color w:val="auto"/>
              </w:rPr>
            </w:pPr>
            <w:r>
              <w:rPr>
                <w:rFonts w:ascii="Arial" w:cs="Arial" w:eastAsia="Arial" w:hAnsi="Arial"/>
                <w:sz w:val="13"/>
                <w:szCs w:val="13"/>
                <w:color w:val="auto"/>
              </w:rPr>
              <w:t>adjustment</w:t>
            </w: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23.8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8.9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32.7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(32.0)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0.7</w:t>
            </w:r>
          </w:p>
        </w:tc>
      </w:tr>
      <w:tr>
        <w:trPr>
          <w:trHeight w:val="242"/>
        </w:trPr>
        <w:tc>
          <w:tcPr>
            <w:tcW w:w="1760" w:type="dxa"/>
            <w:vAlign w:val="bottom"/>
          </w:tcPr>
          <w:p>
            <w:pPr>
              <w:spacing w:after="0"/>
              <w:rPr>
                <w:sz w:val="20"/>
                <w:szCs w:val="20"/>
                <w:color w:val="auto"/>
              </w:rPr>
            </w:pPr>
            <w:r>
              <w:rPr>
                <w:rFonts w:ascii="Arial" w:cs="Arial" w:eastAsia="Arial" w:hAnsi="Arial"/>
                <w:sz w:val="13"/>
                <w:szCs w:val="13"/>
                <w:color w:val="auto"/>
              </w:rPr>
              <w:t>Adjusted financial measures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183.6</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3.1</w:t>
            </w:r>
          </w:p>
        </w:tc>
        <w:tc>
          <w:tcPr>
            <w:tcW w:w="120" w:type="dxa"/>
            <w:vAlign w:val="bottom"/>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150.4</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(86.3)</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417.2</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119.0</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536.2</w:t>
            </w:r>
          </w:p>
        </w:tc>
      </w:tr>
      <w:tr>
        <w:trPr>
          <w:trHeight w:val="20"/>
        </w:trPr>
        <w:tc>
          <w:tcPr>
            <w:tcW w:w="17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00"/>
          </w:cols>
          <w:pgMar w:left="240" w:top="526" w:right="259" w:bottom="1440" w:gutter="0" w:footer="0" w:header="0"/>
        </w:sectPr>
      </w:pPr>
    </w:p>
    <w:bookmarkStart w:id="25" w:name="page26"/>
    <w:bookmarkEnd w:id="25"/>
    <w:p>
      <w:pPr>
        <w:jc w:val="center"/>
        <w:ind w:left="260" w:right="2740"/>
        <w:spacing w:after="0" w:line="266" w:lineRule="auto"/>
        <w:rPr>
          <w:sz w:val="20"/>
          <w:szCs w:val="20"/>
          <w:color w:val="auto"/>
        </w:rPr>
      </w:pPr>
      <w:r>
        <w:rPr>
          <w:rFonts w:ascii="Arial" w:cs="Arial" w:eastAsia="Arial" w:hAnsi="Arial"/>
          <w:sz w:val="18"/>
          <w:szCs w:val="18"/>
          <w:b w:val="1"/>
          <w:bCs w:val="1"/>
          <w:u w:val="single" w:color="auto"/>
          <w:color w:val="auto"/>
        </w:rPr>
        <w:t xml:space="preserve">TECHNIPFMC PLC AND CONSOLIDATED SUBSIDIARIES RECONCILIATION OF GAAP TO NON-GAAP FINANCIAL MEASURES </w:t>
      </w:r>
      <w:r>
        <w:rPr>
          <w:rFonts w:ascii="Arial" w:cs="Arial" w:eastAsia="Arial" w:hAnsi="Arial"/>
          <w:sz w:val="18"/>
          <w:szCs w:val="18"/>
          <w:b w:val="1"/>
          <w:bCs w:val="1"/>
          <w:color w:val="auto"/>
        </w:rPr>
        <w:t>(In millions, unaudited)</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Charges and Credits</w:t>
      </w:r>
    </w:p>
    <w:p>
      <w:pPr>
        <w:spacing w:after="0" w:line="17" w:lineRule="exact"/>
        <w:rPr>
          <w:sz w:val="20"/>
          <w:szCs w:val="20"/>
          <w:color w:val="auto"/>
        </w:rPr>
      </w:pPr>
    </w:p>
    <w:p>
      <w:pPr>
        <w:spacing w:after="0" w:line="264" w:lineRule="auto"/>
        <w:rPr>
          <w:sz w:val="20"/>
          <w:szCs w:val="20"/>
          <w:color w:val="auto"/>
        </w:rPr>
      </w:pPr>
      <w:r>
        <w:rPr>
          <w:rFonts w:ascii="Arial" w:cs="Arial" w:eastAsia="Arial" w:hAnsi="Arial"/>
          <w:sz w:val="13"/>
          <w:szCs w:val="13"/>
          <w:color w:val="auto"/>
        </w:rPr>
        <w:t>In addition to financial results determined in accordance with U.S. generally accepted accounting principles (GAAP), the third quarter 2018 Earnings Release also includes non-GAAP financial measures (as defined in Item 10 of Regulation S-K of the Securities Exchange Act of 1934, as amended) and describes performance on a year-over-year basis against 2017 results and measures. Net income, excluding charges and credits, as well as measures derived from it (including Diluted EPS, excluding charges and credits; Income before net interest expense and taxes, excluding charges and credits ("Adjusted Operating profit"); Depreciation and amortization, excluding charges and credits; Earnings before net interest expense, income taxes, depreciation and amortization, excluding charges and credits ("Adjusted EBITDA"); and net cash) are non-GAAP financial measures. Management believes that the exclusion of charges and credits from these financial measures enables investors and management to more effectively evaluate TechnipFMC's operations and consolidated results of operations period-over-period, and to identify operating trends that could otherwise be masked or misleading to both investors and management by the excluded items. These measures are also used by management as performance measures in determining certain incentive compensation. The foregoing non-GAAP financial measures should be considered by investors in addition to, not as a substitute for or superior to, other measures of financial performance prepared in accordance with GAAP. The following is a reconciliation of the most comparable financial measures under GAAP to the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1746250</wp:posOffset>
            </wp:positionH>
            <wp:positionV relativeFrom="paragraph">
              <wp:posOffset>213360</wp:posOffset>
            </wp:positionV>
            <wp:extent cx="478536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785360" cy="889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5980"/>
        <w:spacing w:after="0"/>
        <w:rPr>
          <w:sz w:val="20"/>
          <w:szCs w:val="20"/>
          <w:color w:val="auto"/>
        </w:rPr>
      </w:pPr>
      <w:r>
        <w:rPr>
          <w:rFonts w:ascii="Arial" w:cs="Arial" w:eastAsia="Arial" w:hAnsi="Arial"/>
          <w:sz w:val="13"/>
          <w:szCs w:val="13"/>
          <w:b w:val="1"/>
          <w:bCs w:val="1"/>
          <w:color w:val="auto"/>
        </w:rPr>
        <w:t>Nine Months Ended</w:t>
      </w:r>
    </w:p>
    <w:p>
      <w:pPr>
        <w:spacing w:after="0" w:line="40" w:lineRule="exact"/>
        <w:rPr>
          <w:sz w:val="20"/>
          <w:szCs w:val="20"/>
          <w:color w:val="auto"/>
        </w:rPr>
      </w:pPr>
    </w:p>
    <w:p>
      <w:pPr>
        <w:ind w:left="6000"/>
        <w:spacing w:after="0"/>
        <w:rPr>
          <w:sz w:val="20"/>
          <w:szCs w:val="20"/>
          <w:color w:val="auto"/>
        </w:rPr>
      </w:pPr>
      <w:r>
        <w:rPr>
          <w:rFonts w:ascii="Arial" w:cs="Arial" w:eastAsia="Arial" w:hAnsi="Arial"/>
          <w:sz w:val="13"/>
          <w:szCs w:val="13"/>
          <w:b w:val="1"/>
          <w:bCs w:val="1"/>
          <w:color w:val="auto"/>
        </w:rPr>
        <w:t>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1746250</wp:posOffset>
            </wp:positionH>
            <wp:positionV relativeFrom="paragraph">
              <wp:posOffset>71120</wp:posOffset>
            </wp:positionV>
            <wp:extent cx="47853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785360" cy="8890"/>
                    </a:xfrm>
                    <a:prstGeom prst="rect">
                      <a:avLst/>
                    </a:prstGeom>
                    <a:noFill/>
                  </pic:spPr>
                </pic:pic>
              </a:graphicData>
            </a:graphic>
          </wp:anchor>
        </w:drawing>
      </w:r>
    </w:p>
    <w:p>
      <w:pPr>
        <w:spacing w:after="0" w:line="100" w:lineRule="exact"/>
        <w:rPr>
          <w:sz w:val="20"/>
          <w:szCs w:val="20"/>
          <w:color w:val="auto"/>
        </w:rPr>
      </w:pPr>
    </w:p>
    <w:tbl>
      <w:tblPr>
        <w:tblLayout w:type="fixed"/>
        <w:tblInd w:w="1180" w:type="dxa"/>
        <w:tblCellMar>
          <w:top w:w="0" w:type="dxa"/>
          <w:left w:w="0" w:type="dxa"/>
          <w:bottom w:w="0" w:type="dxa"/>
          <w:right w:w="0" w:type="dxa"/>
        </w:tblCellMar>
      </w:tblPr>
      <w:tr>
        <w:trPr>
          <w:trHeight w:val="149"/>
        </w:trPr>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6"/>
              </w:rPr>
              <w:t>Earnings before</w:t>
            </w:r>
          </w:p>
        </w:tc>
      </w:tr>
      <w:tr>
        <w:trPr>
          <w:trHeight w:val="135"/>
        </w:trPr>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5"/>
              </w:rPr>
              <w:t>net interest</w:t>
            </w:r>
          </w:p>
        </w:tc>
      </w:tr>
      <w:tr>
        <w:trPr>
          <w:trHeight w:val="135"/>
        </w:trPr>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2"/>
              </w:rPr>
              <w:t>expense, income</w:t>
            </w:r>
          </w:p>
        </w:tc>
      </w:tr>
      <w:tr>
        <w:trPr>
          <w:trHeight w:val="135"/>
        </w:trPr>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4"/>
              </w:rPr>
              <w:t>Net loss (income)</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5"/>
              </w:rPr>
              <w:t>Income before net</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81"/>
              </w:rPr>
              <w:t>taxes,</w:t>
            </w:r>
          </w:p>
        </w:tc>
      </w:tr>
      <w:tr>
        <w:trPr>
          <w:trHeight w:val="135"/>
        </w:trPr>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5"/>
              </w:rPr>
              <w:t>Net income</w:t>
            </w:r>
          </w:p>
        </w:tc>
        <w:tc>
          <w:tcPr>
            <w:tcW w:w="8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attributable to</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1"/>
              </w:rPr>
              <w:t>interest expense</w:t>
            </w:r>
          </w:p>
        </w:tc>
        <w:tc>
          <w:tcPr>
            <w:tcW w:w="12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Depreciation</w:t>
            </w:r>
          </w:p>
        </w:tc>
        <w:tc>
          <w:tcPr>
            <w:tcW w:w="9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6"/>
              </w:rPr>
              <w:t>depreciation and</w:t>
            </w:r>
          </w:p>
        </w:tc>
      </w:tr>
      <w:tr>
        <w:trPr>
          <w:trHeight w:val="135"/>
        </w:trPr>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9"/>
              </w:rPr>
              <w:t>attributable to</w:t>
            </w:r>
          </w:p>
        </w:tc>
        <w:tc>
          <w:tcPr>
            <w:tcW w:w="8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7"/>
              </w:rPr>
              <w:t>noncontrolling</w:t>
            </w:r>
          </w:p>
        </w:tc>
        <w:tc>
          <w:tcPr>
            <w:tcW w:w="100" w:type="dxa"/>
            <w:vAlign w:val="bottom"/>
          </w:tcPr>
          <w:p>
            <w:pPr>
              <w:spacing w:after="0"/>
              <w:rPr>
                <w:sz w:val="11"/>
                <w:szCs w:val="11"/>
                <w:color w:val="auto"/>
              </w:rPr>
            </w:pPr>
          </w:p>
        </w:tc>
        <w:tc>
          <w:tcPr>
            <w:tcW w:w="96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Provision for</w:t>
            </w:r>
          </w:p>
        </w:tc>
        <w:tc>
          <w:tcPr>
            <w:tcW w:w="120" w:type="dxa"/>
            <w:vAlign w:val="bottom"/>
          </w:tcPr>
          <w:p>
            <w:pPr>
              <w:spacing w:after="0"/>
              <w:rPr>
                <w:sz w:val="11"/>
                <w:szCs w:val="11"/>
                <w:color w:val="auto"/>
              </w:rPr>
            </w:pPr>
          </w:p>
        </w:tc>
        <w:tc>
          <w:tcPr>
            <w:tcW w:w="96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6"/>
              </w:rPr>
              <w:t>Net interest</w:t>
            </w:r>
          </w:p>
        </w:tc>
        <w:tc>
          <w:tcPr>
            <w:tcW w:w="116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4"/>
              </w:rPr>
              <w:t>and income taxes</w:t>
            </w:r>
          </w:p>
        </w:tc>
        <w:tc>
          <w:tcPr>
            <w:tcW w:w="12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and</w:t>
            </w:r>
          </w:p>
        </w:tc>
        <w:tc>
          <w:tcPr>
            <w:tcW w:w="100" w:type="dxa"/>
            <w:vAlign w:val="bottom"/>
          </w:tcPr>
          <w:p>
            <w:pPr>
              <w:spacing w:after="0"/>
              <w:rPr>
                <w:sz w:val="11"/>
                <w:szCs w:val="11"/>
                <w:color w:val="auto"/>
              </w:rPr>
            </w:pPr>
          </w:p>
        </w:tc>
        <w:tc>
          <w:tcPr>
            <w:tcW w:w="86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90"/>
              </w:rPr>
              <w:t>amortization</w:t>
            </w:r>
          </w:p>
        </w:tc>
      </w:tr>
      <w:tr>
        <w:trPr>
          <w:trHeight w:val="174"/>
        </w:trPr>
        <w:tc>
          <w:tcPr>
            <w:tcW w:w="1560" w:type="dxa"/>
            <w:vAlign w:val="bottom"/>
          </w:tcPr>
          <w:p>
            <w:pPr>
              <w:spacing w:after="0"/>
              <w:rPr>
                <w:sz w:val="15"/>
                <w:szCs w:val="15"/>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1"/>
              </w:rPr>
              <w:t>TechnipFMC plc</w:t>
            </w:r>
          </w:p>
        </w:tc>
        <w:tc>
          <w:tcPr>
            <w:tcW w:w="80" w:type="dxa"/>
            <w:vAlign w:val="bottom"/>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1"/>
              </w:rPr>
              <w:t>interests</w:t>
            </w:r>
          </w:p>
        </w:tc>
        <w:tc>
          <w:tcPr>
            <w:tcW w:w="100" w:type="dxa"/>
            <w:vAlign w:val="bottom"/>
          </w:tcPr>
          <w:p>
            <w:pPr>
              <w:spacing w:after="0"/>
              <w:rPr>
                <w:sz w:val="15"/>
                <w:szCs w:val="15"/>
                <w:color w:val="auto"/>
              </w:rPr>
            </w:pPr>
          </w:p>
        </w:tc>
        <w:tc>
          <w:tcPr>
            <w:tcW w:w="960" w:type="dxa"/>
            <w:vAlign w:val="bottom"/>
            <w:gridSpan w:val="2"/>
          </w:tcPr>
          <w:p>
            <w:pPr>
              <w:ind w:left="20"/>
              <w:spacing w:after="0"/>
              <w:rPr>
                <w:sz w:val="20"/>
                <w:szCs w:val="20"/>
                <w:color w:val="auto"/>
              </w:rPr>
            </w:pPr>
            <w:r>
              <w:rPr>
                <w:rFonts w:ascii="Arial" w:cs="Arial" w:eastAsia="Arial" w:hAnsi="Arial"/>
                <w:sz w:val="13"/>
                <w:szCs w:val="13"/>
                <w:b w:val="1"/>
                <w:bCs w:val="1"/>
                <w:color w:val="auto"/>
              </w:rPr>
              <w:t>income taxes</w:t>
            </w:r>
          </w:p>
        </w:tc>
        <w:tc>
          <w:tcPr>
            <w:tcW w:w="120" w:type="dxa"/>
            <w:vAlign w:val="bottom"/>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0"/>
              </w:rPr>
              <w:t>expense</w:t>
            </w:r>
          </w:p>
        </w:tc>
        <w:tc>
          <w:tcPr>
            <w:tcW w:w="116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9"/>
              </w:rPr>
              <w:t>(Operating profit)</w:t>
            </w:r>
          </w:p>
        </w:tc>
        <w:tc>
          <w:tcPr>
            <w:tcW w:w="12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amortization</w:t>
            </w:r>
          </w:p>
        </w:tc>
        <w:tc>
          <w:tcPr>
            <w:tcW w:w="100" w:type="dxa"/>
            <w:vAlign w:val="bottom"/>
          </w:tcPr>
          <w:p>
            <w:pPr>
              <w:spacing w:after="0"/>
              <w:rPr>
                <w:sz w:val="15"/>
                <w:szCs w:val="15"/>
                <w:color w:val="auto"/>
              </w:rPr>
            </w:pPr>
          </w:p>
        </w:tc>
        <w:tc>
          <w:tcPr>
            <w:tcW w:w="860" w:type="dxa"/>
            <w:vAlign w:val="bottom"/>
          </w:tcPr>
          <w:p>
            <w:pPr>
              <w:jc w:val="center"/>
              <w:ind w:right="57"/>
              <w:spacing w:after="0"/>
              <w:rPr>
                <w:sz w:val="20"/>
                <w:szCs w:val="20"/>
                <w:color w:val="auto"/>
              </w:rPr>
            </w:pPr>
            <w:r>
              <w:rPr>
                <w:rFonts w:ascii="Arial" w:cs="Arial" w:eastAsia="Arial" w:hAnsi="Arial"/>
                <w:sz w:val="13"/>
                <w:szCs w:val="13"/>
                <w:b w:val="1"/>
                <w:bCs w:val="1"/>
                <w:color w:val="auto"/>
              </w:rPr>
              <w:t>(EBITDA)</w:t>
            </w:r>
          </w:p>
        </w:tc>
      </w:tr>
      <w:tr>
        <w:trPr>
          <w:trHeight w:val="241"/>
        </w:trPr>
        <w:tc>
          <w:tcPr>
            <w:tcW w:w="1560" w:type="dxa"/>
            <w:vAlign w:val="bottom"/>
          </w:tcPr>
          <w:p>
            <w:pPr>
              <w:spacing w:after="0"/>
              <w:rPr>
                <w:sz w:val="20"/>
                <w:szCs w:val="20"/>
                <w:color w:val="auto"/>
              </w:rPr>
            </w:pPr>
            <w:r>
              <w:rPr>
                <w:rFonts w:ascii="Arial" w:cs="Arial" w:eastAsia="Arial" w:hAnsi="Arial"/>
                <w:sz w:val="13"/>
                <w:szCs w:val="13"/>
                <w:color w:val="auto"/>
                <w:w w:val="91"/>
              </w:rPr>
              <w:t>TechnipFMC plc, as reported</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337.7</w:t>
            </w:r>
          </w:p>
        </w:tc>
        <w:tc>
          <w:tcPr>
            <w:tcW w:w="120" w:type="dxa"/>
            <w:vAlign w:val="bottom"/>
          </w:tcPr>
          <w:p>
            <w:pPr>
              <w:spacing w:after="0"/>
              <w:rPr>
                <w:sz w:val="20"/>
                <w:szCs w:val="20"/>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2.0</w:t>
            </w:r>
          </w:p>
        </w:tc>
        <w:tc>
          <w:tcPr>
            <w:tcW w:w="1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180.7</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(244.3)</w:t>
            </w:r>
          </w:p>
        </w:tc>
        <w:tc>
          <w:tcPr>
            <w:tcW w:w="120" w:type="dxa"/>
            <w:vAlign w:val="bottom"/>
          </w:tcPr>
          <w:p>
            <w:pPr>
              <w:spacing w:after="0"/>
              <w:rPr>
                <w:sz w:val="20"/>
                <w:szCs w:val="20"/>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760.7</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412.5</w:t>
            </w:r>
          </w:p>
        </w:tc>
        <w:tc>
          <w:tcPr>
            <w:tcW w:w="1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1,173.2</w:t>
            </w:r>
          </w:p>
        </w:tc>
      </w:tr>
      <w:tr>
        <w:trPr>
          <w:trHeight w:val="486"/>
        </w:trPr>
        <w:tc>
          <w:tcPr>
            <w:tcW w:w="1560" w:type="dxa"/>
            <w:vAlign w:val="bottom"/>
          </w:tcPr>
          <w:p>
            <w:pPr>
              <w:spacing w:after="0"/>
              <w:rPr>
                <w:sz w:val="20"/>
                <w:szCs w:val="20"/>
                <w:color w:val="auto"/>
              </w:rPr>
            </w:pPr>
            <w:r>
              <w:rPr>
                <w:rFonts w:ascii="Arial" w:cs="Arial" w:eastAsia="Arial" w:hAnsi="Arial"/>
                <w:sz w:val="13"/>
                <w:szCs w:val="13"/>
                <w:color w:val="auto"/>
              </w:rPr>
              <w:t>Charges and (credits):</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4"/>
        </w:trPr>
        <w:tc>
          <w:tcPr>
            <w:tcW w:w="1560" w:type="dxa"/>
            <w:vAlign w:val="bottom"/>
          </w:tcPr>
          <w:p>
            <w:pPr>
              <w:ind w:left="240"/>
              <w:spacing w:after="0"/>
              <w:rPr>
                <w:sz w:val="20"/>
                <w:szCs w:val="20"/>
                <w:color w:val="auto"/>
              </w:rPr>
            </w:pPr>
            <w:r>
              <w:rPr>
                <w:rFonts w:ascii="Arial" w:cs="Arial" w:eastAsia="Arial" w:hAnsi="Arial"/>
                <w:sz w:val="13"/>
                <w:szCs w:val="13"/>
                <w:color w:val="auto"/>
              </w:rPr>
              <w:t>Impairment and other</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0"/>
        </w:trPr>
        <w:tc>
          <w:tcPr>
            <w:tcW w:w="1560" w:type="dxa"/>
            <w:vAlign w:val="bottom"/>
          </w:tcPr>
          <w:p>
            <w:pPr>
              <w:ind w:left="240"/>
              <w:spacing w:after="0"/>
              <w:rPr>
                <w:sz w:val="20"/>
                <w:szCs w:val="20"/>
                <w:color w:val="auto"/>
              </w:rPr>
            </w:pPr>
            <w:r>
              <w:rPr>
                <w:rFonts w:ascii="Arial" w:cs="Arial" w:eastAsia="Arial" w:hAnsi="Arial"/>
                <w:sz w:val="13"/>
                <w:szCs w:val="13"/>
                <w:color w:val="auto"/>
              </w:rPr>
              <w:t>charges</w:t>
            </w:r>
          </w:p>
        </w:tc>
        <w:tc>
          <w:tcPr>
            <w:tcW w:w="100" w:type="dxa"/>
            <w:vAlign w:val="bottom"/>
          </w:tcPr>
          <w:p>
            <w:pPr>
              <w:spacing w:after="0"/>
              <w:rPr>
                <w:sz w:val="13"/>
                <w:szCs w:val="13"/>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9.4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4.7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14.1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14.1</w:t>
            </w:r>
          </w:p>
        </w:tc>
      </w:tr>
      <w:tr>
        <w:trPr>
          <w:trHeight w:val="164"/>
        </w:trPr>
        <w:tc>
          <w:tcPr>
            <w:tcW w:w="1560" w:type="dxa"/>
            <w:vAlign w:val="bottom"/>
          </w:tcPr>
          <w:p>
            <w:pPr>
              <w:ind w:left="240"/>
              <w:spacing w:after="0"/>
              <w:rPr>
                <w:sz w:val="20"/>
                <w:szCs w:val="20"/>
                <w:color w:val="auto"/>
              </w:rPr>
            </w:pPr>
            <w:r>
              <w:rPr>
                <w:rFonts w:ascii="Arial" w:cs="Arial" w:eastAsia="Arial" w:hAnsi="Arial"/>
                <w:sz w:val="13"/>
                <w:szCs w:val="13"/>
                <w:color w:val="auto"/>
                <w:w w:val="95"/>
              </w:rPr>
              <w:t>Restructuring and other</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0"/>
        </w:trPr>
        <w:tc>
          <w:tcPr>
            <w:tcW w:w="1560" w:type="dxa"/>
            <w:vAlign w:val="bottom"/>
          </w:tcPr>
          <w:p>
            <w:pPr>
              <w:ind w:left="240"/>
              <w:spacing w:after="0"/>
              <w:rPr>
                <w:sz w:val="20"/>
                <w:szCs w:val="20"/>
                <w:color w:val="auto"/>
              </w:rPr>
            </w:pPr>
            <w:r>
              <w:rPr>
                <w:rFonts w:ascii="Arial" w:cs="Arial" w:eastAsia="Arial" w:hAnsi="Arial"/>
                <w:sz w:val="13"/>
                <w:szCs w:val="13"/>
                <w:color w:val="auto"/>
              </w:rPr>
              <w:t>severance charges</w:t>
            </w:r>
          </w:p>
        </w:tc>
        <w:tc>
          <w:tcPr>
            <w:tcW w:w="100" w:type="dxa"/>
            <w:vAlign w:val="bottom"/>
          </w:tcPr>
          <w:p>
            <w:pPr>
              <w:spacing w:after="0"/>
              <w:rPr>
                <w:sz w:val="13"/>
                <w:szCs w:val="13"/>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12.3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6.2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18.5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18.5</w:t>
            </w:r>
          </w:p>
        </w:tc>
      </w:tr>
      <w:tr>
        <w:trPr>
          <w:trHeight w:val="164"/>
        </w:trPr>
        <w:tc>
          <w:tcPr>
            <w:tcW w:w="1560" w:type="dxa"/>
            <w:vAlign w:val="bottom"/>
          </w:tcPr>
          <w:p>
            <w:pPr>
              <w:ind w:left="240"/>
              <w:spacing w:after="0"/>
              <w:rPr>
                <w:sz w:val="20"/>
                <w:szCs w:val="20"/>
                <w:color w:val="auto"/>
              </w:rPr>
            </w:pPr>
            <w:r>
              <w:rPr>
                <w:rFonts w:ascii="Arial" w:cs="Arial" w:eastAsia="Arial" w:hAnsi="Arial"/>
                <w:sz w:val="13"/>
                <w:szCs w:val="13"/>
                <w:color w:val="auto"/>
              </w:rPr>
              <w:t>Business combination</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35"/>
        </w:trPr>
        <w:tc>
          <w:tcPr>
            <w:tcW w:w="1560" w:type="dxa"/>
            <w:vAlign w:val="bottom"/>
          </w:tcPr>
          <w:p>
            <w:pPr>
              <w:ind w:left="240"/>
              <w:spacing w:after="0" w:line="135" w:lineRule="exact"/>
              <w:rPr>
                <w:sz w:val="20"/>
                <w:szCs w:val="20"/>
                <w:color w:val="auto"/>
              </w:rPr>
            </w:pPr>
            <w:r>
              <w:rPr>
                <w:rFonts w:ascii="Arial" w:cs="Arial" w:eastAsia="Arial" w:hAnsi="Arial"/>
                <w:sz w:val="13"/>
                <w:szCs w:val="13"/>
                <w:color w:val="auto"/>
              </w:rPr>
              <w:t>transaction and</w:t>
            </w: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60"/>
        </w:trPr>
        <w:tc>
          <w:tcPr>
            <w:tcW w:w="1560" w:type="dxa"/>
            <w:vAlign w:val="bottom"/>
          </w:tcPr>
          <w:p>
            <w:pPr>
              <w:ind w:left="240"/>
              <w:spacing w:after="0"/>
              <w:rPr>
                <w:sz w:val="20"/>
                <w:szCs w:val="20"/>
                <w:color w:val="auto"/>
              </w:rPr>
            </w:pPr>
            <w:r>
              <w:rPr>
                <w:rFonts w:ascii="Arial" w:cs="Arial" w:eastAsia="Arial" w:hAnsi="Arial"/>
                <w:sz w:val="13"/>
                <w:szCs w:val="13"/>
                <w:color w:val="auto"/>
              </w:rPr>
              <w:t>integration costs</w:t>
            </w:r>
          </w:p>
        </w:tc>
        <w:tc>
          <w:tcPr>
            <w:tcW w:w="100" w:type="dxa"/>
            <w:vAlign w:val="bottom"/>
          </w:tcPr>
          <w:p>
            <w:pPr>
              <w:spacing w:after="0"/>
              <w:rPr>
                <w:sz w:val="13"/>
                <w:szCs w:val="13"/>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13.9</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7.0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20.9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20.9</w:t>
            </w:r>
          </w:p>
        </w:tc>
      </w:tr>
      <w:tr>
        <w:trPr>
          <w:trHeight w:val="270"/>
        </w:trPr>
        <w:tc>
          <w:tcPr>
            <w:tcW w:w="1560" w:type="dxa"/>
            <w:vAlign w:val="bottom"/>
          </w:tcPr>
          <w:p>
            <w:pPr>
              <w:ind w:left="240"/>
              <w:spacing w:after="0"/>
              <w:rPr>
                <w:sz w:val="20"/>
                <w:szCs w:val="20"/>
                <w:color w:val="auto"/>
              </w:rPr>
            </w:pPr>
            <w:r>
              <w:rPr>
                <w:rFonts w:ascii="Arial" w:cs="Arial" w:eastAsia="Arial" w:hAnsi="Arial"/>
                <w:sz w:val="13"/>
                <w:szCs w:val="13"/>
                <w:color w:val="auto"/>
              </w:rPr>
              <w:t>Gain on divestitures</w:t>
            </w: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(21.1)</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(10.5)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(31.6)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(31.6)</w:t>
            </w:r>
          </w:p>
        </w:tc>
      </w:tr>
      <w:tr>
        <w:trPr>
          <w:trHeight w:val="164"/>
        </w:trPr>
        <w:tc>
          <w:tcPr>
            <w:tcW w:w="1560" w:type="dxa"/>
            <w:vAlign w:val="bottom"/>
          </w:tcPr>
          <w:p>
            <w:pPr>
              <w:ind w:left="240"/>
              <w:spacing w:after="0"/>
              <w:rPr>
                <w:sz w:val="20"/>
                <w:szCs w:val="20"/>
                <w:color w:val="auto"/>
              </w:rPr>
            </w:pPr>
            <w:r>
              <w:rPr>
                <w:rFonts w:ascii="Arial" w:cs="Arial" w:eastAsia="Arial" w:hAnsi="Arial"/>
                <w:sz w:val="13"/>
                <w:szCs w:val="13"/>
                <w:color w:val="auto"/>
              </w:rPr>
              <w:t>Purchase price</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0"/>
        </w:trPr>
        <w:tc>
          <w:tcPr>
            <w:tcW w:w="1560" w:type="dxa"/>
            <w:vAlign w:val="bottom"/>
          </w:tcPr>
          <w:p>
            <w:pPr>
              <w:ind w:left="240"/>
              <w:spacing w:after="0"/>
              <w:rPr>
                <w:sz w:val="20"/>
                <w:szCs w:val="20"/>
                <w:color w:val="auto"/>
              </w:rPr>
            </w:pPr>
            <w:r>
              <w:rPr>
                <w:rFonts w:ascii="Arial" w:cs="Arial" w:eastAsia="Arial" w:hAnsi="Arial"/>
                <w:sz w:val="13"/>
                <w:szCs w:val="13"/>
                <w:color w:val="auto"/>
                <w:w w:val="99"/>
              </w:rPr>
              <w:t>accounting adjustment</w:t>
            </w:r>
          </w:p>
        </w:tc>
        <w:tc>
          <w:tcPr>
            <w:tcW w:w="100" w:type="dxa"/>
            <w:vAlign w:val="bottom"/>
          </w:tcPr>
          <w:p>
            <w:pPr>
              <w:spacing w:after="0"/>
              <w:rPr>
                <w:sz w:val="14"/>
                <w:szCs w:val="14"/>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50.9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15.6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66.5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(67.3)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(0.8)</w:t>
            </w:r>
          </w:p>
        </w:tc>
      </w:tr>
      <w:tr>
        <w:trPr>
          <w:trHeight w:val="242"/>
        </w:trPr>
        <w:tc>
          <w:tcPr>
            <w:tcW w:w="1560" w:type="dxa"/>
            <w:vAlign w:val="bottom"/>
          </w:tcPr>
          <w:p>
            <w:pPr>
              <w:spacing w:after="0"/>
              <w:rPr>
                <w:sz w:val="20"/>
                <w:szCs w:val="20"/>
                <w:color w:val="auto"/>
              </w:rPr>
            </w:pPr>
            <w:r>
              <w:rPr>
                <w:rFonts w:ascii="Arial" w:cs="Arial" w:eastAsia="Arial" w:hAnsi="Arial"/>
                <w:sz w:val="13"/>
                <w:szCs w:val="13"/>
                <w:color w:val="auto"/>
                <w:w w:val="94"/>
              </w:rPr>
              <w:t>Adjusted financial measures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403.1</w:t>
            </w:r>
          </w:p>
        </w:tc>
        <w:tc>
          <w:tcPr>
            <w:tcW w:w="120" w:type="dxa"/>
            <w:vAlign w:val="bottom"/>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203.7</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(244.3)</w:t>
            </w:r>
          </w:p>
        </w:tc>
        <w:tc>
          <w:tcPr>
            <w:tcW w:w="120" w:type="dxa"/>
            <w:vAlign w:val="bottom"/>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849.1</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345.2</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1,194.3</w:t>
            </w:r>
          </w:p>
        </w:tc>
      </w:tr>
      <w:tr>
        <w:trPr>
          <w:trHeight w:val="20"/>
        </w:trPr>
        <w:tc>
          <w:tcPr>
            <w:tcW w:w="1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1866265</wp:posOffset>
            </wp:positionH>
            <wp:positionV relativeFrom="paragraph">
              <wp:posOffset>497205</wp:posOffset>
            </wp:positionV>
            <wp:extent cx="466534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6653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080"/>
        <w:spacing w:after="0"/>
        <w:rPr>
          <w:sz w:val="20"/>
          <w:szCs w:val="20"/>
          <w:color w:val="auto"/>
        </w:rPr>
      </w:pPr>
      <w:r>
        <w:rPr>
          <w:rFonts w:ascii="Arial" w:cs="Arial" w:eastAsia="Arial" w:hAnsi="Arial"/>
          <w:sz w:val="13"/>
          <w:szCs w:val="13"/>
          <w:b w:val="1"/>
          <w:bCs w:val="1"/>
          <w:color w:val="auto"/>
        </w:rPr>
        <w:t>Nine Months Ended</w:t>
      </w:r>
    </w:p>
    <w:p>
      <w:pPr>
        <w:spacing w:after="0" w:line="40" w:lineRule="exact"/>
        <w:rPr>
          <w:sz w:val="20"/>
          <w:szCs w:val="20"/>
          <w:color w:val="auto"/>
        </w:rPr>
      </w:pPr>
    </w:p>
    <w:p>
      <w:pPr>
        <w:ind w:left="6100"/>
        <w:spacing w:after="0"/>
        <w:rPr>
          <w:sz w:val="20"/>
          <w:szCs w:val="20"/>
          <w:color w:val="auto"/>
        </w:rPr>
      </w:pPr>
      <w:r>
        <w:rPr>
          <w:rFonts w:ascii="Arial" w:cs="Arial" w:eastAsia="Arial" w:hAnsi="Arial"/>
          <w:sz w:val="13"/>
          <w:szCs w:val="13"/>
          <w:b w:val="1"/>
          <w:bCs w:val="1"/>
          <w:color w:val="auto"/>
        </w:rPr>
        <w:t>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1866265</wp:posOffset>
            </wp:positionH>
            <wp:positionV relativeFrom="paragraph">
              <wp:posOffset>71120</wp:posOffset>
            </wp:positionV>
            <wp:extent cx="46653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665345" cy="8890"/>
                    </a:xfrm>
                    <a:prstGeom prst="rect">
                      <a:avLst/>
                    </a:prstGeom>
                    <a:noFill/>
                  </pic:spPr>
                </pic:pic>
              </a:graphicData>
            </a:graphic>
          </wp:anchor>
        </w:drawing>
      </w:r>
    </w:p>
    <w:p>
      <w:pPr>
        <w:spacing w:after="0" w:line="100" w:lineRule="exact"/>
        <w:rPr>
          <w:sz w:val="20"/>
          <w:szCs w:val="20"/>
          <w:color w:val="auto"/>
        </w:rPr>
      </w:pPr>
    </w:p>
    <w:tbl>
      <w:tblPr>
        <w:tblLayout w:type="fixed"/>
        <w:tblInd w:w="1180" w:type="dxa"/>
        <w:tblCellMar>
          <w:top w:w="0" w:type="dxa"/>
          <w:left w:w="0" w:type="dxa"/>
          <w:bottom w:w="0" w:type="dxa"/>
          <w:right w:w="0" w:type="dxa"/>
        </w:tblCellMar>
      </w:tblPr>
      <w:tr>
        <w:trPr>
          <w:trHeight w:val="149"/>
        </w:trPr>
        <w:tc>
          <w:tcPr>
            <w:tcW w:w="1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Earnings before</w:t>
            </w:r>
          </w:p>
        </w:tc>
      </w:tr>
      <w:tr>
        <w:trPr>
          <w:trHeight w:val="135"/>
        </w:trPr>
        <w:tc>
          <w:tcPr>
            <w:tcW w:w="1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5"/>
              </w:rPr>
              <w:t>net interest</w:t>
            </w:r>
          </w:p>
        </w:tc>
      </w:tr>
      <w:tr>
        <w:trPr>
          <w:trHeight w:val="135"/>
        </w:trPr>
        <w:tc>
          <w:tcPr>
            <w:tcW w:w="1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Income before</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78"/>
              </w:rPr>
              <w:t>expense,</w:t>
            </w:r>
          </w:p>
        </w:tc>
      </w:tr>
      <w:tr>
        <w:trPr>
          <w:trHeight w:val="135"/>
        </w:trPr>
        <w:tc>
          <w:tcPr>
            <w:tcW w:w="1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5"/>
              </w:rPr>
              <w:t>net interest</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3"/>
              </w:rPr>
              <w:t>income taxes,</w:t>
            </w:r>
          </w:p>
        </w:tc>
      </w:tr>
      <w:tr>
        <w:trPr>
          <w:trHeight w:val="135"/>
        </w:trPr>
        <w:tc>
          <w:tcPr>
            <w:tcW w:w="1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8"/>
              </w:rPr>
              <w:t>Net income</w:t>
            </w:r>
          </w:p>
        </w:tc>
        <w:tc>
          <w:tcPr>
            <w:tcW w:w="112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4"/>
              </w:rPr>
              <w:t>Net loss (income)</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3"/>
              </w:rPr>
              <w:t>expense and</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7"/>
              </w:rPr>
              <w:t>depreciation</w:t>
            </w:r>
          </w:p>
        </w:tc>
      </w:tr>
      <w:tr>
        <w:trPr>
          <w:trHeight w:val="135"/>
        </w:trPr>
        <w:tc>
          <w:tcPr>
            <w:tcW w:w="1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9"/>
              </w:rPr>
              <w:t>attributable to</w:t>
            </w:r>
          </w:p>
        </w:tc>
        <w:tc>
          <w:tcPr>
            <w:tcW w:w="100" w:type="dxa"/>
            <w:vAlign w:val="bottom"/>
          </w:tcPr>
          <w:p>
            <w:pPr>
              <w:spacing w:after="0"/>
              <w:rPr>
                <w:sz w:val="11"/>
                <w:szCs w:val="11"/>
                <w:color w:val="auto"/>
              </w:rPr>
            </w:pPr>
          </w:p>
        </w:tc>
        <w:tc>
          <w:tcPr>
            <w:tcW w:w="10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9"/>
              </w:rPr>
              <w:t>attributable to</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4"/>
              </w:rPr>
              <w:t>income taxes</w:t>
            </w:r>
          </w:p>
        </w:tc>
        <w:tc>
          <w:tcPr>
            <w:tcW w:w="10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Depreciation</w:t>
            </w:r>
          </w:p>
        </w:tc>
        <w:tc>
          <w:tcPr>
            <w:tcW w:w="100" w:type="dxa"/>
            <w:vAlign w:val="bottom"/>
          </w:tcPr>
          <w:p>
            <w:pPr>
              <w:spacing w:after="0"/>
              <w:rPr>
                <w:sz w:val="11"/>
                <w:szCs w:val="11"/>
                <w:color w:val="auto"/>
              </w:rPr>
            </w:pPr>
          </w:p>
        </w:tc>
        <w:tc>
          <w:tcPr>
            <w:tcW w:w="82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6"/>
              </w:rPr>
              <w:t>and</w:t>
            </w:r>
          </w:p>
        </w:tc>
      </w:tr>
      <w:tr>
        <w:trPr>
          <w:trHeight w:val="135"/>
        </w:trPr>
        <w:tc>
          <w:tcPr>
            <w:tcW w:w="1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9"/>
              </w:rPr>
              <w:t>TechnipFMC</w:t>
            </w:r>
          </w:p>
        </w:tc>
        <w:tc>
          <w:tcPr>
            <w:tcW w:w="10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noncontrolling</w:t>
            </w:r>
          </w:p>
        </w:tc>
        <w:tc>
          <w:tcPr>
            <w:tcW w:w="80" w:type="dxa"/>
            <w:vAlign w:val="bottom"/>
          </w:tcPr>
          <w:p>
            <w:pPr>
              <w:spacing w:after="0"/>
              <w:rPr>
                <w:sz w:val="11"/>
                <w:szCs w:val="11"/>
                <w:color w:val="auto"/>
              </w:rPr>
            </w:pPr>
          </w:p>
        </w:tc>
        <w:tc>
          <w:tcPr>
            <w:tcW w:w="94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Provision for</w:t>
            </w:r>
          </w:p>
        </w:tc>
        <w:tc>
          <w:tcPr>
            <w:tcW w:w="12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Net interest</w:t>
            </w:r>
          </w:p>
        </w:tc>
        <w:tc>
          <w:tcPr>
            <w:tcW w:w="10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1"/>
              </w:rPr>
              <w:t>(Operating</w:t>
            </w:r>
          </w:p>
        </w:tc>
        <w:tc>
          <w:tcPr>
            <w:tcW w:w="100" w:type="dxa"/>
            <w:vAlign w:val="bottom"/>
          </w:tcPr>
          <w:p>
            <w:pPr>
              <w:spacing w:after="0"/>
              <w:rPr>
                <w:sz w:val="11"/>
                <w:szCs w:val="11"/>
                <w:color w:val="auto"/>
              </w:rPr>
            </w:pPr>
          </w:p>
        </w:tc>
        <w:tc>
          <w:tcPr>
            <w:tcW w:w="96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6"/>
              </w:rPr>
              <w:t>and</w:t>
            </w:r>
          </w:p>
        </w:tc>
        <w:tc>
          <w:tcPr>
            <w:tcW w:w="100" w:type="dxa"/>
            <w:vAlign w:val="bottom"/>
          </w:tcPr>
          <w:p>
            <w:pPr>
              <w:spacing w:after="0"/>
              <w:rPr>
                <w:sz w:val="11"/>
                <w:szCs w:val="11"/>
                <w:color w:val="auto"/>
              </w:rPr>
            </w:pPr>
          </w:p>
        </w:tc>
        <w:tc>
          <w:tcPr>
            <w:tcW w:w="82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7"/>
              </w:rPr>
              <w:t>amortization</w:t>
            </w:r>
          </w:p>
        </w:tc>
      </w:tr>
      <w:tr>
        <w:trPr>
          <w:trHeight w:val="174"/>
        </w:trPr>
        <w:tc>
          <w:tcPr>
            <w:tcW w:w="1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4"/>
              </w:rPr>
              <w:t>plc</w:t>
            </w:r>
          </w:p>
        </w:tc>
        <w:tc>
          <w:tcPr>
            <w:tcW w:w="10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1"/>
              </w:rPr>
              <w:t>interests</w:t>
            </w:r>
          </w:p>
        </w:tc>
        <w:tc>
          <w:tcPr>
            <w:tcW w:w="80" w:type="dxa"/>
            <w:vAlign w:val="bottom"/>
          </w:tcPr>
          <w:p>
            <w:pPr>
              <w:spacing w:after="0"/>
              <w:rPr>
                <w:sz w:val="15"/>
                <w:szCs w:val="15"/>
                <w:color w:val="auto"/>
              </w:rPr>
            </w:pPr>
          </w:p>
        </w:tc>
        <w:tc>
          <w:tcPr>
            <w:tcW w:w="940" w:type="dxa"/>
            <w:vAlign w:val="bottom"/>
            <w:gridSpan w:val="2"/>
          </w:tcPr>
          <w:p>
            <w:pPr>
              <w:ind w:left="20"/>
              <w:spacing w:after="0"/>
              <w:rPr>
                <w:sz w:val="20"/>
                <w:szCs w:val="20"/>
                <w:color w:val="auto"/>
              </w:rPr>
            </w:pPr>
            <w:r>
              <w:rPr>
                <w:rFonts w:ascii="Arial" w:cs="Arial" w:eastAsia="Arial" w:hAnsi="Arial"/>
                <w:sz w:val="13"/>
                <w:szCs w:val="13"/>
                <w:b w:val="1"/>
                <w:bCs w:val="1"/>
                <w:color w:val="auto"/>
              </w:rPr>
              <w:t>income taxes</w:t>
            </w:r>
          </w:p>
        </w:tc>
        <w:tc>
          <w:tcPr>
            <w:tcW w:w="12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0"/>
              </w:rPr>
              <w:t>expense</w:t>
            </w:r>
          </w:p>
        </w:tc>
        <w:tc>
          <w:tcPr>
            <w:tcW w:w="10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profit)</w:t>
            </w:r>
          </w:p>
        </w:tc>
        <w:tc>
          <w:tcPr>
            <w:tcW w:w="100" w:type="dxa"/>
            <w:vAlign w:val="bottom"/>
          </w:tcPr>
          <w:p>
            <w:pPr>
              <w:spacing w:after="0"/>
              <w:rPr>
                <w:sz w:val="15"/>
                <w:szCs w:val="15"/>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amortization</w:t>
            </w:r>
          </w:p>
        </w:tc>
        <w:tc>
          <w:tcPr>
            <w:tcW w:w="100" w:type="dxa"/>
            <w:vAlign w:val="bottom"/>
          </w:tcPr>
          <w:p>
            <w:pPr>
              <w:spacing w:after="0"/>
              <w:rPr>
                <w:sz w:val="15"/>
                <w:szCs w:val="15"/>
                <w:color w:val="auto"/>
              </w:rPr>
            </w:pPr>
          </w:p>
        </w:tc>
        <w:tc>
          <w:tcPr>
            <w:tcW w:w="820" w:type="dxa"/>
            <w:vAlign w:val="bottom"/>
          </w:tcPr>
          <w:p>
            <w:pPr>
              <w:jc w:val="center"/>
              <w:ind w:right="37"/>
              <w:spacing w:after="0"/>
              <w:rPr>
                <w:sz w:val="20"/>
                <w:szCs w:val="20"/>
                <w:color w:val="auto"/>
              </w:rPr>
            </w:pPr>
            <w:r>
              <w:rPr>
                <w:rFonts w:ascii="Arial" w:cs="Arial" w:eastAsia="Arial" w:hAnsi="Arial"/>
                <w:sz w:val="13"/>
                <w:szCs w:val="13"/>
                <w:b w:val="1"/>
                <w:bCs w:val="1"/>
                <w:color w:val="auto"/>
                <w:w w:val="98"/>
              </w:rPr>
              <w:t>(EBITDA)</w:t>
            </w:r>
          </w:p>
        </w:tc>
      </w:tr>
      <w:tr>
        <w:trPr>
          <w:trHeight w:val="241"/>
        </w:trPr>
        <w:tc>
          <w:tcPr>
            <w:tcW w:w="1760" w:type="dxa"/>
            <w:vAlign w:val="bottom"/>
          </w:tcPr>
          <w:p>
            <w:pPr>
              <w:spacing w:after="0"/>
              <w:rPr>
                <w:sz w:val="20"/>
                <w:szCs w:val="20"/>
                <w:color w:val="auto"/>
              </w:rPr>
            </w:pPr>
            <w:r>
              <w:rPr>
                <w:rFonts w:ascii="Arial" w:cs="Arial" w:eastAsia="Arial" w:hAnsi="Arial"/>
                <w:sz w:val="13"/>
                <w:szCs w:val="13"/>
                <w:color w:val="auto"/>
              </w:rPr>
              <w:t>TechnipFMC plc, as reported</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267.2</w:t>
            </w:r>
          </w:p>
        </w:tc>
        <w:tc>
          <w:tcPr>
            <w:tcW w:w="10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5.5</w:t>
            </w:r>
          </w:p>
        </w:tc>
        <w:tc>
          <w:tcPr>
            <w:tcW w:w="120" w:type="dxa"/>
            <w:vAlign w:val="bottom"/>
          </w:tcPr>
          <w:p>
            <w:pPr>
              <w:spacing w:after="0"/>
              <w:rPr>
                <w:sz w:val="20"/>
                <w:szCs w:val="20"/>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249.7</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(240.5)</w:t>
            </w:r>
          </w:p>
        </w:tc>
        <w:tc>
          <w:tcPr>
            <w:tcW w:w="10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751.9</w:t>
            </w:r>
          </w:p>
        </w:tc>
        <w:tc>
          <w:tcPr>
            <w:tcW w:w="10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461.7</w:t>
            </w:r>
          </w:p>
        </w:tc>
        <w:tc>
          <w:tcPr>
            <w:tcW w:w="10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1,213.6</w:t>
            </w:r>
          </w:p>
        </w:tc>
      </w:tr>
      <w:tr>
        <w:trPr>
          <w:trHeight w:val="486"/>
        </w:trPr>
        <w:tc>
          <w:tcPr>
            <w:tcW w:w="1760" w:type="dxa"/>
            <w:vAlign w:val="bottom"/>
          </w:tcPr>
          <w:p>
            <w:pPr>
              <w:spacing w:after="0"/>
              <w:rPr>
                <w:sz w:val="20"/>
                <w:szCs w:val="20"/>
                <w:color w:val="auto"/>
              </w:rPr>
            </w:pPr>
            <w:r>
              <w:rPr>
                <w:rFonts w:ascii="Arial" w:cs="Arial" w:eastAsia="Arial" w:hAnsi="Arial"/>
                <w:sz w:val="13"/>
                <w:szCs w:val="13"/>
                <w:color w:val="auto"/>
              </w:rPr>
              <w:t>Charges and (credits):</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4"/>
        </w:trPr>
        <w:tc>
          <w:tcPr>
            <w:tcW w:w="1760" w:type="dxa"/>
            <w:vAlign w:val="bottom"/>
          </w:tcPr>
          <w:p>
            <w:pPr>
              <w:ind w:left="240"/>
              <w:spacing w:after="0"/>
              <w:rPr>
                <w:sz w:val="20"/>
                <w:szCs w:val="20"/>
                <w:color w:val="auto"/>
              </w:rPr>
            </w:pPr>
            <w:r>
              <w:rPr>
                <w:rFonts w:ascii="Arial" w:cs="Arial" w:eastAsia="Arial" w:hAnsi="Arial"/>
                <w:sz w:val="13"/>
                <w:szCs w:val="13"/>
                <w:color w:val="auto"/>
              </w:rPr>
              <w:t>Impairment and other</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0"/>
        </w:trPr>
        <w:tc>
          <w:tcPr>
            <w:tcW w:w="1760" w:type="dxa"/>
            <w:vAlign w:val="bottom"/>
          </w:tcPr>
          <w:p>
            <w:pPr>
              <w:ind w:left="240"/>
              <w:spacing w:after="0"/>
              <w:rPr>
                <w:sz w:val="20"/>
                <w:szCs w:val="20"/>
                <w:color w:val="auto"/>
              </w:rPr>
            </w:pPr>
            <w:r>
              <w:rPr>
                <w:rFonts w:ascii="Arial" w:cs="Arial" w:eastAsia="Arial" w:hAnsi="Arial"/>
                <w:sz w:val="13"/>
                <w:szCs w:val="13"/>
                <w:color w:val="auto"/>
              </w:rPr>
              <w:t>charges</w:t>
            </w:r>
          </w:p>
        </w:tc>
        <w:tc>
          <w:tcPr>
            <w:tcW w:w="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9.0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9.0</w:t>
            </w:r>
          </w:p>
        </w:tc>
      </w:tr>
      <w:tr>
        <w:trPr>
          <w:trHeight w:val="164"/>
        </w:trPr>
        <w:tc>
          <w:tcPr>
            <w:tcW w:w="1760" w:type="dxa"/>
            <w:vAlign w:val="bottom"/>
          </w:tcPr>
          <w:p>
            <w:pPr>
              <w:ind w:left="240"/>
              <w:spacing w:after="0"/>
              <w:rPr>
                <w:sz w:val="20"/>
                <w:szCs w:val="20"/>
                <w:color w:val="auto"/>
              </w:rPr>
            </w:pPr>
            <w:r>
              <w:rPr>
                <w:rFonts w:ascii="Arial" w:cs="Arial" w:eastAsia="Arial" w:hAnsi="Arial"/>
                <w:sz w:val="13"/>
                <w:szCs w:val="13"/>
                <w:color w:val="auto"/>
              </w:rPr>
              <w:t>Restructuring and other</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0"/>
        </w:trPr>
        <w:tc>
          <w:tcPr>
            <w:tcW w:w="1760" w:type="dxa"/>
            <w:vAlign w:val="bottom"/>
          </w:tcPr>
          <w:p>
            <w:pPr>
              <w:ind w:left="240"/>
              <w:spacing w:after="0"/>
              <w:rPr>
                <w:sz w:val="20"/>
                <w:szCs w:val="20"/>
                <w:color w:val="auto"/>
              </w:rPr>
            </w:pPr>
            <w:r>
              <w:rPr>
                <w:rFonts w:ascii="Arial" w:cs="Arial" w:eastAsia="Arial" w:hAnsi="Arial"/>
                <w:sz w:val="13"/>
                <w:szCs w:val="13"/>
                <w:color w:val="auto"/>
              </w:rPr>
              <w:t>severance charges</w:t>
            </w:r>
          </w:p>
        </w:tc>
        <w:tc>
          <w:tcPr>
            <w:tcW w:w="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29.1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18.7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47.8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47.8</w:t>
            </w:r>
          </w:p>
        </w:tc>
      </w:tr>
      <w:tr>
        <w:trPr>
          <w:trHeight w:val="164"/>
        </w:trPr>
        <w:tc>
          <w:tcPr>
            <w:tcW w:w="1760" w:type="dxa"/>
            <w:vAlign w:val="bottom"/>
          </w:tcPr>
          <w:p>
            <w:pPr>
              <w:ind w:left="240"/>
              <w:spacing w:after="0"/>
              <w:rPr>
                <w:sz w:val="20"/>
                <w:szCs w:val="20"/>
                <w:color w:val="auto"/>
              </w:rPr>
            </w:pPr>
            <w:r>
              <w:rPr>
                <w:rFonts w:ascii="Arial" w:cs="Arial" w:eastAsia="Arial" w:hAnsi="Arial"/>
                <w:sz w:val="13"/>
                <w:szCs w:val="13"/>
                <w:color w:val="auto"/>
              </w:rPr>
              <w:t>Business combination</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35"/>
        </w:trPr>
        <w:tc>
          <w:tcPr>
            <w:tcW w:w="1760" w:type="dxa"/>
            <w:vAlign w:val="bottom"/>
          </w:tcPr>
          <w:p>
            <w:pPr>
              <w:ind w:left="240"/>
              <w:spacing w:after="0" w:line="135" w:lineRule="exact"/>
              <w:rPr>
                <w:sz w:val="20"/>
                <w:szCs w:val="20"/>
                <w:color w:val="auto"/>
              </w:rPr>
            </w:pPr>
            <w:r>
              <w:rPr>
                <w:rFonts w:ascii="Arial" w:cs="Arial" w:eastAsia="Arial" w:hAnsi="Arial"/>
                <w:sz w:val="13"/>
                <w:szCs w:val="13"/>
                <w:color w:val="auto"/>
                <w:w w:val="97"/>
              </w:rPr>
              <w:t>transaction and integration</w:t>
            </w: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60"/>
        </w:trPr>
        <w:tc>
          <w:tcPr>
            <w:tcW w:w="1760" w:type="dxa"/>
            <w:vAlign w:val="bottom"/>
          </w:tcPr>
          <w:p>
            <w:pPr>
              <w:ind w:left="240"/>
              <w:spacing w:after="0"/>
              <w:rPr>
                <w:sz w:val="20"/>
                <w:szCs w:val="20"/>
                <w:color w:val="auto"/>
              </w:rPr>
            </w:pPr>
            <w:r>
              <w:rPr>
                <w:rFonts w:ascii="Arial" w:cs="Arial" w:eastAsia="Arial" w:hAnsi="Arial"/>
                <w:sz w:val="13"/>
                <w:szCs w:val="13"/>
                <w:color w:val="auto"/>
              </w:rPr>
              <w:t>costs</w:t>
            </w:r>
          </w:p>
        </w:tc>
        <w:tc>
          <w:tcPr>
            <w:tcW w:w="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53.1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34.1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87.2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87.2</w:t>
            </w:r>
          </w:p>
        </w:tc>
      </w:tr>
      <w:tr>
        <w:trPr>
          <w:trHeight w:val="164"/>
        </w:trPr>
        <w:tc>
          <w:tcPr>
            <w:tcW w:w="1760" w:type="dxa"/>
            <w:vAlign w:val="bottom"/>
          </w:tcPr>
          <w:p>
            <w:pPr>
              <w:ind w:left="240"/>
              <w:spacing w:after="0"/>
              <w:rPr>
                <w:sz w:val="20"/>
                <w:szCs w:val="20"/>
                <w:color w:val="auto"/>
              </w:rPr>
            </w:pPr>
            <w:r>
              <w:rPr>
                <w:rFonts w:ascii="Arial" w:cs="Arial" w:eastAsia="Arial" w:hAnsi="Arial"/>
                <w:sz w:val="13"/>
                <w:szCs w:val="13"/>
                <w:color w:val="auto"/>
              </w:rPr>
              <w:t>Change in accounting</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0"/>
        </w:trPr>
        <w:tc>
          <w:tcPr>
            <w:tcW w:w="1760" w:type="dxa"/>
            <w:vAlign w:val="bottom"/>
          </w:tcPr>
          <w:p>
            <w:pPr>
              <w:ind w:left="240"/>
              <w:spacing w:after="0"/>
              <w:rPr>
                <w:sz w:val="20"/>
                <w:szCs w:val="20"/>
                <w:color w:val="auto"/>
              </w:rPr>
            </w:pPr>
            <w:r>
              <w:rPr>
                <w:rFonts w:ascii="Arial" w:cs="Arial" w:eastAsia="Arial" w:hAnsi="Arial"/>
                <w:sz w:val="13"/>
                <w:szCs w:val="13"/>
                <w:color w:val="auto"/>
              </w:rPr>
              <w:t>estimate</w:t>
            </w:r>
          </w:p>
        </w:tc>
        <w:tc>
          <w:tcPr>
            <w:tcW w:w="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16.0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21.9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21.9</w:t>
            </w:r>
          </w:p>
        </w:tc>
      </w:tr>
      <w:tr>
        <w:trPr>
          <w:trHeight w:val="164"/>
        </w:trPr>
        <w:tc>
          <w:tcPr>
            <w:tcW w:w="1760" w:type="dxa"/>
            <w:vAlign w:val="bottom"/>
          </w:tcPr>
          <w:p>
            <w:pPr>
              <w:ind w:left="240"/>
              <w:spacing w:after="0"/>
              <w:rPr>
                <w:sz w:val="20"/>
                <w:szCs w:val="20"/>
                <w:color w:val="auto"/>
              </w:rPr>
            </w:pPr>
            <w:r>
              <w:rPr>
                <w:rFonts w:ascii="Arial" w:cs="Arial" w:eastAsia="Arial" w:hAnsi="Arial"/>
                <w:sz w:val="13"/>
                <w:szCs w:val="13"/>
                <w:color w:val="auto"/>
                <w:w w:val="97"/>
              </w:rPr>
              <w:t>Purchase price accounting</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0"/>
        </w:trPr>
        <w:tc>
          <w:tcPr>
            <w:tcW w:w="1760" w:type="dxa"/>
            <w:vAlign w:val="bottom"/>
          </w:tcPr>
          <w:p>
            <w:pPr>
              <w:ind w:left="240"/>
              <w:spacing w:after="0"/>
              <w:rPr>
                <w:sz w:val="20"/>
                <w:szCs w:val="20"/>
                <w:color w:val="auto"/>
              </w:rPr>
            </w:pPr>
            <w:r>
              <w:rPr>
                <w:rFonts w:ascii="Arial" w:cs="Arial" w:eastAsia="Arial" w:hAnsi="Arial"/>
                <w:sz w:val="13"/>
                <w:szCs w:val="13"/>
                <w:color w:val="auto"/>
              </w:rPr>
              <w:t>adjustment</w:t>
            </w: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141.7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52.4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0.3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193.8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(115.3)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78.5</w:t>
            </w:r>
          </w:p>
        </w:tc>
      </w:tr>
      <w:tr>
        <w:trPr>
          <w:trHeight w:val="242"/>
        </w:trPr>
        <w:tc>
          <w:tcPr>
            <w:tcW w:w="1760" w:type="dxa"/>
            <w:vAlign w:val="bottom"/>
          </w:tcPr>
          <w:p>
            <w:pPr>
              <w:spacing w:after="0"/>
              <w:rPr>
                <w:sz w:val="20"/>
                <w:szCs w:val="20"/>
                <w:color w:val="auto"/>
              </w:rPr>
            </w:pPr>
            <w:r>
              <w:rPr>
                <w:rFonts w:ascii="Arial" w:cs="Arial" w:eastAsia="Arial" w:hAnsi="Arial"/>
                <w:sz w:val="13"/>
                <w:szCs w:val="13"/>
                <w:color w:val="auto"/>
              </w:rPr>
              <w:t>Adjusted financial measures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512.6</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5.5</w:t>
            </w:r>
          </w:p>
        </w:tc>
        <w:tc>
          <w:tcPr>
            <w:tcW w:w="120" w:type="dxa"/>
            <w:vAlign w:val="bottom"/>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364.3</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(240.2)</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1,111.6</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346.4</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1,458.0</w:t>
            </w:r>
          </w:p>
        </w:tc>
      </w:tr>
      <w:tr>
        <w:trPr>
          <w:trHeight w:val="20"/>
        </w:trPr>
        <w:tc>
          <w:tcPr>
            <w:tcW w:w="17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00"/>
          </w:cols>
          <w:pgMar w:left="240" w:top="526" w:right="259" w:bottom="1440" w:gutter="0" w:footer="0" w:header="0"/>
        </w:sectPr>
      </w:pPr>
    </w:p>
    <w:bookmarkStart w:id="26" w:name="page27"/>
    <w:bookmarkEnd w:id="26"/>
    <w:p>
      <w:pPr>
        <w:jc w:val="center"/>
        <w:ind w:left="300" w:right="2700"/>
        <w:spacing w:after="0" w:line="266" w:lineRule="auto"/>
        <w:rPr>
          <w:sz w:val="20"/>
          <w:szCs w:val="20"/>
          <w:color w:val="auto"/>
        </w:rPr>
      </w:pPr>
      <w:r>
        <w:rPr>
          <w:rFonts w:ascii="Arial" w:cs="Arial" w:eastAsia="Arial" w:hAnsi="Arial"/>
          <w:sz w:val="18"/>
          <w:szCs w:val="18"/>
          <w:b w:val="1"/>
          <w:bCs w:val="1"/>
          <w:u w:val="single" w:color="auto"/>
          <w:color w:val="auto"/>
        </w:rPr>
        <w:t xml:space="preserve">TECHNIPFMC PLC AND CONSOLIDATED SUBSIDIARIES RECONCILIATION OF GAAP TO NON-GAAP FINANCIAL MEASURES </w:t>
      </w:r>
      <w:r>
        <w:rPr>
          <w:rFonts w:ascii="Arial" w:cs="Arial" w:eastAsia="Arial" w:hAnsi="Arial"/>
          <w:sz w:val="18"/>
          <w:szCs w:val="18"/>
          <w:b w:val="1"/>
          <w:bCs w:val="1"/>
          <w:color w:val="auto"/>
        </w:rPr>
        <w:t>(In millions, except per share amounts)</w:t>
      </w:r>
    </w:p>
    <w:p>
      <w:pPr>
        <w:spacing w:after="0" w:line="338" w:lineRule="exact"/>
        <w:rPr>
          <w:sz w:val="20"/>
          <w:szCs w:val="20"/>
          <w:color w:val="auto"/>
        </w:rPr>
      </w:pPr>
    </w:p>
    <w:tbl>
      <w:tblPr>
        <w:tblLayout w:type="fixed"/>
        <w:tblInd w:w="1152" w:type="dxa"/>
        <w:tblCellMar>
          <w:top w:w="0" w:type="dxa"/>
          <w:left w:w="0" w:type="dxa"/>
          <w:bottom w:w="0" w:type="dxa"/>
          <w:right w:w="0" w:type="dxa"/>
        </w:tblCellMar>
      </w:tblPr>
      <w:tr>
        <w:trPr>
          <w:trHeight w:val="234"/>
        </w:trPr>
        <w:tc>
          <w:tcPr>
            <w:tcW w:w="15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60" w:type="dxa"/>
            <w:vAlign w:val="bottom"/>
            <w:gridSpan w:val="5"/>
          </w:tcPr>
          <w:p>
            <w:pPr>
              <w:ind w:left="420"/>
              <w:spacing w:after="0"/>
              <w:rPr>
                <w:sz w:val="20"/>
                <w:szCs w:val="20"/>
                <w:color w:val="auto"/>
              </w:rPr>
            </w:pPr>
            <w:r>
              <w:rPr>
                <w:rFonts w:ascii="Arial" w:cs="Arial" w:eastAsia="Arial" w:hAnsi="Arial"/>
                <w:sz w:val="18"/>
                <w:szCs w:val="18"/>
                <w:b w:val="1"/>
                <w:bCs w:val="1"/>
                <w:color w:val="auto"/>
              </w:rPr>
              <w:t>(Unaudited)</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8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2"/>
              </w:rPr>
              <w:t>Three Months Ended</w:t>
            </w:r>
          </w:p>
        </w:tc>
        <w:tc>
          <w:tcPr>
            <w:tcW w:w="240" w:type="dxa"/>
            <w:vAlign w:val="bottom"/>
          </w:tcPr>
          <w:p>
            <w:pPr>
              <w:spacing w:after="0"/>
              <w:rPr>
                <w:sz w:val="20"/>
                <w:szCs w:val="20"/>
                <w:color w:val="auto"/>
              </w:rPr>
            </w:pPr>
          </w:p>
        </w:tc>
        <w:tc>
          <w:tcPr>
            <w:tcW w:w="204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w w:val="98"/>
              </w:rPr>
              <w:t>Nine Months Ended</w:t>
            </w:r>
          </w:p>
        </w:tc>
        <w:tc>
          <w:tcPr>
            <w:tcW w:w="0" w:type="dxa"/>
            <w:vAlign w:val="bottom"/>
          </w:tcPr>
          <w:p>
            <w:pPr>
              <w:spacing w:after="0"/>
              <w:rPr>
                <w:sz w:val="1"/>
                <w:szCs w:val="1"/>
                <w:color w:val="auto"/>
              </w:rPr>
            </w:pPr>
          </w:p>
        </w:tc>
      </w:tr>
      <w:tr>
        <w:trPr>
          <w:trHeight w:val="270"/>
        </w:trPr>
        <w:tc>
          <w:tcPr>
            <w:tcW w:w="1540" w:type="dxa"/>
            <w:vAlign w:val="bottom"/>
          </w:tcPr>
          <w:p>
            <w:pPr>
              <w:spacing w:after="0"/>
              <w:rPr>
                <w:sz w:val="23"/>
                <w:szCs w:val="23"/>
                <w:color w:val="auto"/>
              </w:rPr>
            </w:pPr>
          </w:p>
        </w:tc>
        <w:tc>
          <w:tcPr>
            <w:tcW w:w="2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18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23"/>
                <w:szCs w:val="23"/>
                <w:color w:val="auto"/>
              </w:rPr>
            </w:pPr>
          </w:p>
        </w:tc>
        <w:tc>
          <w:tcPr>
            <w:tcW w:w="20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4460" w:type="dxa"/>
            <w:vAlign w:val="bottom"/>
            <w:gridSpan w:val="2"/>
            <w:vMerge w:val="restart"/>
          </w:tcPr>
          <w:p>
            <w:pPr>
              <w:spacing w:after="0"/>
              <w:rPr>
                <w:sz w:val="20"/>
                <w:szCs w:val="20"/>
                <w:color w:val="auto"/>
              </w:rPr>
            </w:pPr>
            <w:r>
              <w:rPr>
                <w:rFonts w:ascii="Arial" w:cs="Arial" w:eastAsia="Arial" w:hAnsi="Arial"/>
                <w:sz w:val="18"/>
                <w:szCs w:val="18"/>
                <w:color w:val="auto"/>
              </w:rPr>
              <w:t>(after-tax)</w:t>
            </w: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6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460" w:type="dxa"/>
            <w:vAlign w:val="bottom"/>
            <w:gridSpan w:val="2"/>
          </w:tcPr>
          <w:p>
            <w:pPr>
              <w:spacing w:after="0"/>
              <w:rPr>
                <w:sz w:val="20"/>
                <w:szCs w:val="20"/>
                <w:color w:val="auto"/>
              </w:rPr>
            </w:pPr>
            <w:r>
              <w:rPr>
                <w:rFonts w:ascii="Arial" w:cs="Arial" w:eastAsia="Arial" w:hAnsi="Arial"/>
                <w:sz w:val="18"/>
                <w:szCs w:val="18"/>
                <w:color w:val="auto"/>
              </w:rPr>
              <w:t>Net income (loss) attributable to TechnipFMC plc, as</w:t>
            </w: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460" w:type="dxa"/>
            <w:vAlign w:val="bottom"/>
            <w:gridSpan w:val="2"/>
          </w:tcPr>
          <w:p>
            <w:pPr>
              <w:spacing w:after="0"/>
              <w:rPr>
                <w:sz w:val="20"/>
                <w:szCs w:val="20"/>
                <w:color w:val="auto"/>
              </w:rPr>
            </w:pPr>
            <w:r>
              <w:rPr>
                <w:rFonts w:ascii="Arial" w:cs="Arial" w:eastAsia="Arial" w:hAnsi="Arial"/>
                <w:sz w:val="18"/>
                <w:szCs w:val="18"/>
                <w:color w:val="auto"/>
              </w:rPr>
              <w:t>reported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513"/>
        </w:trPr>
        <w:tc>
          <w:tcPr>
            <w:tcW w:w="4460" w:type="dxa"/>
            <w:vAlign w:val="bottom"/>
            <w:gridSpan w:val="2"/>
          </w:tcPr>
          <w:p>
            <w:pPr>
              <w:spacing w:after="0"/>
              <w:rPr>
                <w:sz w:val="20"/>
                <w:szCs w:val="20"/>
                <w:color w:val="auto"/>
              </w:rPr>
            </w:pPr>
            <w:r>
              <w:rPr>
                <w:rFonts w:ascii="Arial" w:cs="Arial" w:eastAsia="Arial" w:hAnsi="Arial"/>
                <w:sz w:val="18"/>
                <w:szCs w:val="18"/>
                <w:color w:val="auto"/>
              </w:rPr>
              <w:t>Charges and (credits):</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54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460" w:type="dxa"/>
            <w:vAlign w:val="bottom"/>
            <w:gridSpan w:val="2"/>
          </w:tcPr>
          <w:p>
            <w:pPr>
              <w:spacing w:after="0"/>
              <w:rPr>
                <w:sz w:val="20"/>
                <w:szCs w:val="20"/>
                <w:color w:val="auto"/>
              </w:rPr>
            </w:pPr>
            <w:r>
              <w:rPr>
                <w:rFonts w:ascii="Arial" w:cs="Arial" w:eastAsia="Arial" w:hAnsi="Arial"/>
                <w:sz w:val="18"/>
                <w:szCs w:val="18"/>
                <w:color w:val="auto"/>
              </w:rPr>
              <w:t>Impairment and other charges (1)</w:t>
            </w:r>
          </w:p>
        </w:tc>
        <w:tc>
          <w:tcPr>
            <w:tcW w:w="22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0"/>
        </w:trPr>
        <w:tc>
          <w:tcPr>
            <w:tcW w:w="4460" w:type="dxa"/>
            <w:vAlign w:val="bottom"/>
            <w:gridSpan w:val="2"/>
          </w:tcPr>
          <w:p>
            <w:pPr>
              <w:spacing w:after="0"/>
              <w:rPr>
                <w:sz w:val="20"/>
                <w:szCs w:val="20"/>
                <w:color w:val="auto"/>
              </w:rPr>
            </w:pPr>
            <w:r>
              <w:rPr>
                <w:rFonts w:ascii="Arial" w:cs="Arial" w:eastAsia="Arial" w:hAnsi="Arial"/>
                <w:sz w:val="18"/>
                <w:szCs w:val="18"/>
                <w:color w:val="auto"/>
              </w:rPr>
              <w:t>Restructuring and other severance charges (2)</w:t>
            </w:r>
          </w:p>
        </w:tc>
        <w:tc>
          <w:tcPr>
            <w:tcW w:w="22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0"/>
        </w:trPr>
        <w:tc>
          <w:tcPr>
            <w:tcW w:w="4460" w:type="dxa"/>
            <w:vAlign w:val="bottom"/>
            <w:gridSpan w:val="2"/>
          </w:tcPr>
          <w:p>
            <w:pPr>
              <w:spacing w:after="0"/>
              <w:rPr>
                <w:sz w:val="20"/>
                <w:szCs w:val="20"/>
                <w:color w:val="auto"/>
              </w:rPr>
            </w:pPr>
            <w:r>
              <w:rPr>
                <w:rFonts w:ascii="Arial" w:cs="Arial" w:eastAsia="Arial" w:hAnsi="Arial"/>
                <w:sz w:val="18"/>
                <w:szCs w:val="18"/>
                <w:color w:val="auto"/>
                <w:w w:val="95"/>
              </w:rPr>
              <w:t>Business combination transaction and integration costs (3)</w:t>
            </w:r>
          </w:p>
        </w:tc>
        <w:tc>
          <w:tcPr>
            <w:tcW w:w="22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0"/>
        </w:trPr>
        <w:tc>
          <w:tcPr>
            <w:tcW w:w="4460" w:type="dxa"/>
            <w:vAlign w:val="bottom"/>
            <w:gridSpan w:val="2"/>
          </w:tcPr>
          <w:p>
            <w:pPr>
              <w:spacing w:after="0"/>
              <w:rPr>
                <w:sz w:val="20"/>
                <w:szCs w:val="20"/>
                <w:color w:val="auto"/>
              </w:rPr>
            </w:pPr>
            <w:r>
              <w:rPr>
                <w:rFonts w:ascii="Arial" w:cs="Arial" w:eastAsia="Arial" w:hAnsi="Arial"/>
                <w:sz w:val="18"/>
                <w:szCs w:val="18"/>
                <w:color w:val="auto"/>
              </w:rPr>
              <w:t>Gain on divestitures (4)</w:t>
            </w:r>
          </w:p>
        </w:tc>
        <w:tc>
          <w:tcPr>
            <w:tcW w:w="2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460" w:type="dxa"/>
            <w:vAlign w:val="bottom"/>
            <w:gridSpan w:val="2"/>
          </w:tcPr>
          <w:p>
            <w:pPr>
              <w:spacing w:after="0"/>
              <w:rPr>
                <w:sz w:val="20"/>
                <w:szCs w:val="20"/>
                <w:color w:val="auto"/>
              </w:rPr>
            </w:pPr>
            <w:r>
              <w:rPr>
                <w:rFonts w:ascii="Arial" w:cs="Arial" w:eastAsia="Arial" w:hAnsi="Arial"/>
                <w:sz w:val="18"/>
                <w:szCs w:val="18"/>
                <w:color w:val="auto"/>
              </w:rPr>
              <w:t>Change in accounting estimate (5)</w:t>
            </w:r>
          </w:p>
        </w:tc>
        <w:tc>
          <w:tcPr>
            <w:tcW w:w="2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0"/>
        </w:trPr>
        <w:tc>
          <w:tcPr>
            <w:tcW w:w="4460" w:type="dxa"/>
            <w:vAlign w:val="bottom"/>
            <w:gridSpan w:val="2"/>
          </w:tcPr>
          <w:p>
            <w:pPr>
              <w:spacing w:after="0"/>
              <w:rPr>
                <w:sz w:val="20"/>
                <w:szCs w:val="20"/>
                <w:color w:val="auto"/>
              </w:rPr>
            </w:pPr>
            <w:r>
              <w:rPr>
                <w:rFonts w:ascii="Arial" w:cs="Arial" w:eastAsia="Arial" w:hAnsi="Arial"/>
                <w:sz w:val="18"/>
                <w:szCs w:val="18"/>
                <w:color w:val="auto"/>
              </w:rPr>
              <w:t>Purchase price accounting adjustments (6)</w:t>
            </w:r>
          </w:p>
        </w:tc>
        <w:tc>
          <w:tcPr>
            <w:tcW w:w="22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6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73"/>
        </w:trPr>
        <w:tc>
          <w:tcPr>
            <w:tcW w:w="4460" w:type="dxa"/>
            <w:vAlign w:val="bottom"/>
            <w:gridSpan w:val="2"/>
          </w:tcPr>
          <w:p>
            <w:pPr>
              <w:spacing w:after="0"/>
              <w:rPr>
                <w:sz w:val="20"/>
                <w:szCs w:val="20"/>
                <w:color w:val="auto"/>
              </w:rPr>
            </w:pPr>
            <w:r>
              <w:rPr>
                <w:rFonts w:ascii="Arial" w:cs="Arial" w:eastAsia="Arial" w:hAnsi="Arial"/>
                <w:sz w:val="18"/>
                <w:szCs w:val="18"/>
                <w:color w:val="auto"/>
              </w:rPr>
              <w:t>Adjusted net income attributable to TechnipFMC plc</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4"/>
                <w:szCs w:val="24"/>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24"/>
                <w:szCs w:val="24"/>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spacing w:after="0"/>
              <w:rPr>
                <w:sz w:val="20"/>
                <w:szCs w:val="20"/>
                <w:color w:val="auto"/>
              </w:rPr>
            </w:pPr>
            <w:r>
              <w:rPr>
                <w:rFonts w:ascii="Arial" w:cs="Arial" w:eastAsia="Arial" w:hAnsi="Arial"/>
                <w:sz w:val="18"/>
                <w:szCs w:val="18"/>
                <w:color w:val="auto"/>
                <w:w w:val="94"/>
              </w:rPr>
              <w:t>Earnings (loss) per diluted EPS attributable to TechnipFMC</w:t>
            </w: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9"/>
        </w:trPr>
        <w:tc>
          <w:tcPr>
            <w:tcW w:w="44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60" w:type="dxa"/>
            <w:vAlign w:val="bottom"/>
            <w:gridSpan w:val="2"/>
          </w:tcPr>
          <w:p>
            <w:pPr>
              <w:spacing w:after="0"/>
              <w:rPr>
                <w:sz w:val="20"/>
                <w:szCs w:val="20"/>
                <w:color w:val="auto"/>
              </w:rPr>
            </w:pPr>
            <w:r>
              <w:rPr>
                <w:rFonts w:ascii="Arial" w:cs="Arial" w:eastAsia="Arial" w:hAnsi="Arial"/>
                <w:sz w:val="18"/>
                <w:szCs w:val="18"/>
                <w:color w:val="auto"/>
              </w:rPr>
              <w:t>plc, as reported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0.26</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0.73</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554"/>
        </w:trPr>
        <w:tc>
          <w:tcPr>
            <w:tcW w:w="4460" w:type="dxa"/>
            <w:vAlign w:val="bottom"/>
            <w:gridSpan w:val="2"/>
          </w:tcPr>
          <w:p>
            <w:pPr>
              <w:spacing w:after="0"/>
              <w:rPr>
                <w:sz w:val="20"/>
                <w:szCs w:val="20"/>
                <w:color w:val="auto"/>
              </w:rPr>
            </w:pPr>
            <w:r>
              <w:rPr>
                <w:rFonts w:ascii="Arial" w:cs="Arial" w:eastAsia="Arial" w:hAnsi="Arial"/>
                <w:sz w:val="18"/>
                <w:szCs w:val="18"/>
                <w:color w:val="auto"/>
              </w:rPr>
              <w:t>Adjusted diluted EPS attributable to TechnipFMC plc</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0.39</w:t>
            </w:r>
          </w:p>
        </w:tc>
        <w:tc>
          <w:tcPr>
            <w:tcW w:w="12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0.87</w:t>
            </w:r>
          </w:p>
        </w:tc>
        <w:tc>
          <w:tcPr>
            <w:tcW w:w="12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32" w:right="100" w:hanging="332"/>
        <w:spacing w:after="0" w:line="277" w:lineRule="auto"/>
        <w:tabs>
          <w:tab w:leader="none" w:pos="332" w:val="left"/>
        </w:tabs>
        <w:numPr>
          <w:ilvl w:val="0"/>
          <w:numId w:val="20"/>
        </w:numPr>
        <w:rPr>
          <w:rFonts w:ascii="Arial" w:cs="Arial" w:eastAsia="Arial" w:hAnsi="Arial"/>
          <w:sz w:val="18"/>
          <w:szCs w:val="18"/>
          <w:color w:val="auto"/>
        </w:rPr>
      </w:pPr>
      <w:r>
        <w:rPr>
          <w:rFonts w:ascii="Arial" w:cs="Arial" w:eastAsia="Arial" w:hAnsi="Arial"/>
          <w:sz w:val="18"/>
          <w:szCs w:val="18"/>
          <w:color w:val="auto"/>
        </w:rPr>
        <w:t>Tax effect of $1 million and $3 million during the three months ended September 30, 2018 and 2017, respectively, and $5 million and $4 million during the nine months ended September 30, 2018 and 2017, respectively.</w:t>
      </w:r>
    </w:p>
    <w:p>
      <w:pPr>
        <w:spacing w:after="0" w:line="116" w:lineRule="exact"/>
        <w:rPr>
          <w:rFonts w:ascii="Arial" w:cs="Arial" w:eastAsia="Arial" w:hAnsi="Arial"/>
          <w:sz w:val="18"/>
          <w:szCs w:val="18"/>
          <w:color w:val="auto"/>
        </w:rPr>
      </w:pPr>
    </w:p>
    <w:p>
      <w:pPr>
        <w:ind w:left="332" w:right="440" w:hanging="332"/>
        <w:spacing w:after="0" w:line="277" w:lineRule="auto"/>
        <w:tabs>
          <w:tab w:leader="none" w:pos="332" w:val="left"/>
        </w:tabs>
        <w:numPr>
          <w:ilvl w:val="0"/>
          <w:numId w:val="20"/>
        </w:numPr>
        <w:rPr>
          <w:rFonts w:ascii="Arial" w:cs="Arial" w:eastAsia="Arial" w:hAnsi="Arial"/>
          <w:sz w:val="18"/>
          <w:szCs w:val="18"/>
          <w:color w:val="auto"/>
        </w:rPr>
      </w:pPr>
      <w:r>
        <w:rPr>
          <w:rFonts w:ascii="Arial" w:cs="Arial" w:eastAsia="Arial" w:hAnsi="Arial"/>
          <w:sz w:val="18"/>
          <w:szCs w:val="18"/>
          <w:color w:val="auto"/>
        </w:rPr>
        <w:t>Tax effect of $3 million and $20 million during the three months ended September 30, 2018 and 2017, respectively, and $6 million and $19 million during the nine months ended September 30, 2018 and 2017, respectively.</w:t>
      </w:r>
    </w:p>
    <w:p>
      <w:pPr>
        <w:spacing w:after="0" w:line="116" w:lineRule="exact"/>
        <w:rPr>
          <w:rFonts w:ascii="Arial" w:cs="Arial" w:eastAsia="Arial" w:hAnsi="Arial"/>
          <w:sz w:val="18"/>
          <w:szCs w:val="18"/>
          <w:color w:val="auto"/>
        </w:rPr>
      </w:pPr>
    </w:p>
    <w:p>
      <w:pPr>
        <w:ind w:left="332" w:hanging="332"/>
        <w:spacing w:after="0" w:line="277" w:lineRule="auto"/>
        <w:tabs>
          <w:tab w:leader="none" w:pos="332" w:val="left"/>
        </w:tabs>
        <w:numPr>
          <w:ilvl w:val="0"/>
          <w:numId w:val="20"/>
        </w:numPr>
        <w:rPr>
          <w:rFonts w:ascii="Arial" w:cs="Arial" w:eastAsia="Arial" w:hAnsi="Arial"/>
          <w:sz w:val="18"/>
          <w:szCs w:val="18"/>
          <w:color w:val="auto"/>
        </w:rPr>
      </w:pPr>
      <w:r>
        <w:rPr>
          <w:rFonts w:ascii="Arial" w:cs="Arial" w:eastAsia="Arial" w:hAnsi="Arial"/>
          <w:sz w:val="18"/>
          <w:szCs w:val="18"/>
          <w:color w:val="auto"/>
        </w:rPr>
        <w:t>Tax effect of $3 million and $7 million during the three months ended September 30, 2018 and 2017, respectively, and $7 million and $34 million during the nine months ended September 30, 2018 and 2017, respectively.</w:t>
      </w:r>
    </w:p>
    <w:p>
      <w:pPr>
        <w:spacing w:after="0" w:line="116" w:lineRule="exact"/>
        <w:rPr>
          <w:rFonts w:ascii="Arial" w:cs="Arial" w:eastAsia="Arial" w:hAnsi="Arial"/>
          <w:sz w:val="18"/>
          <w:szCs w:val="18"/>
          <w:color w:val="auto"/>
        </w:rPr>
      </w:pPr>
    </w:p>
    <w:p>
      <w:pPr>
        <w:ind w:left="332" w:right="180" w:hanging="332"/>
        <w:spacing w:after="0" w:line="277" w:lineRule="auto"/>
        <w:tabs>
          <w:tab w:leader="none" w:pos="332" w:val="left"/>
        </w:tabs>
        <w:numPr>
          <w:ilvl w:val="0"/>
          <w:numId w:val="20"/>
        </w:numPr>
        <w:rPr>
          <w:rFonts w:ascii="Arial" w:cs="Arial" w:eastAsia="Arial" w:hAnsi="Arial"/>
          <w:sz w:val="18"/>
          <w:szCs w:val="18"/>
          <w:color w:val="auto"/>
        </w:rPr>
      </w:pPr>
      <w:r>
        <w:rPr>
          <w:rFonts w:ascii="Arial" w:cs="Arial" w:eastAsia="Arial" w:hAnsi="Arial"/>
          <w:sz w:val="18"/>
          <w:szCs w:val="18"/>
          <w:color w:val="auto"/>
        </w:rPr>
        <w:t>Tax effect of $(11) million and nil during the three months ended September 30, 2018 and 2017, respectively, and $(11) million and nil during the nine months ended September 30, 2018 and 2017, respectively.</w:t>
      </w:r>
    </w:p>
    <w:p>
      <w:pPr>
        <w:spacing w:after="0" w:line="116" w:lineRule="exact"/>
        <w:rPr>
          <w:rFonts w:ascii="Arial" w:cs="Arial" w:eastAsia="Arial" w:hAnsi="Arial"/>
          <w:sz w:val="18"/>
          <w:szCs w:val="18"/>
          <w:color w:val="auto"/>
        </w:rPr>
      </w:pPr>
    </w:p>
    <w:p>
      <w:pPr>
        <w:ind w:left="332" w:right="100" w:hanging="332"/>
        <w:spacing w:after="0" w:line="277" w:lineRule="auto"/>
        <w:tabs>
          <w:tab w:leader="none" w:pos="332" w:val="left"/>
        </w:tabs>
        <w:numPr>
          <w:ilvl w:val="0"/>
          <w:numId w:val="20"/>
        </w:numPr>
        <w:rPr>
          <w:rFonts w:ascii="Arial" w:cs="Arial" w:eastAsia="Arial" w:hAnsi="Arial"/>
          <w:sz w:val="18"/>
          <w:szCs w:val="18"/>
          <w:color w:val="auto"/>
        </w:rPr>
      </w:pPr>
      <w:r>
        <w:rPr>
          <w:rFonts w:ascii="Arial" w:cs="Arial" w:eastAsia="Arial" w:hAnsi="Arial"/>
          <w:sz w:val="18"/>
          <w:szCs w:val="18"/>
          <w:color w:val="auto"/>
        </w:rPr>
        <w:t>Tax effect of nil and nil during the three months ended September 30, 2018 and 2017, respectively, and nil and $6 million during the nine months ended September 30, 2018 and 2017, respectively.</w:t>
      </w:r>
    </w:p>
    <w:p>
      <w:pPr>
        <w:spacing w:after="0" w:line="116" w:lineRule="exact"/>
        <w:rPr>
          <w:rFonts w:ascii="Arial" w:cs="Arial" w:eastAsia="Arial" w:hAnsi="Arial"/>
          <w:sz w:val="18"/>
          <w:szCs w:val="18"/>
          <w:color w:val="auto"/>
        </w:rPr>
      </w:pPr>
    </w:p>
    <w:p>
      <w:pPr>
        <w:ind w:left="332" w:right="440" w:hanging="332"/>
        <w:spacing w:after="0" w:line="277" w:lineRule="auto"/>
        <w:tabs>
          <w:tab w:leader="none" w:pos="332" w:val="left"/>
        </w:tabs>
        <w:numPr>
          <w:ilvl w:val="0"/>
          <w:numId w:val="20"/>
        </w:numPr>
        <w:rPr>
          <w:rFonts w:ascii="Arial" w:cs="Arial" w:eastAsia="Arial" w:hAnsi="Arial"/>
          <w:sz w:val="18"/>
          <w:szCs w:val="18"/>
          <w:color w:val="auto"/>
        </w:rPr>
      </w:pPr>
      <w:r>
        <w:rPr>
          <w:rFonts w:ascii="Arial" w:cs="Arial" w:eastAsia="Arial" w:hAnsi="Arial"/>
          <w:sz w:val="18"/>
          <w:szCs w:val="18"/>
          <w:color w:val="auto"/>
        </w:rPr>
        <w:t>Tax effect of $5 million and $9 million during the three months ended September 30, 2018 and 2017, respectively, and $16 million and $52 million during the nine months ended September 30, 2018 and 2017, respectively.</w:t>
      </w:r>
    </w:p>
    <w:p>
      <w:pPr>
        <w:sectPr>
          <w:pgSz w:w="11900" w:h="16838" w:orient="portrait"/>
          <w:cols w:equalWidth="0" w:num="1">
            <w:col w:w="11352"/>
          </w:cols>
          <w:pgMar w:left="248" w:top="526" w:right="299" w:bottom="1440" w:gutter="0" w:footer="0" w:header="0"/>
        </w:sectPr>
      </w:pPr>
    </w:p>
    <w:bookmarkStart w:id="27" w:name="page28"/>
    <w:bookmarkEnd w:id="27"/>
    <w:p>
      <w:pPr>
        <w:jc w:val="center"/>
        <w:ind w:right="40"/>
        <w:spacing w:after="0" w:line="266" w:lineRule="auto"/>
        <w:rPr>
          <w:sz w:val="20"/>
          <w:szCs w:val="20"/>
          <w:color w:val="auto"/>
        </w:rPr>
      </w:pPr>
      <w:r>
        <w:rPr>
          <w:rFonts w:ascii="Arial" w:cs="Arial" w:eastAsia="Arial" w:hAnsi="Arial"/>
          <w:sz w:val="18"/>
          <w:szCs w:val="18"/>
          <w:b w:val="1"/>
          <w:bCs w:val="1"/>
          <w:u w:val="single" w:color="auto"/>
          <w:color w:val="auto"/>
        </w:rPr>
        <w:t xml:space="preserve">TECHNIPFMC PLC AND CONSOLIDATED SUBSIDIARIES RECONCILIATION OF GAAP TO NON-GAAP FINANCIAL MEASURES </w:t>
      </w:r>
      <w:r>
        <w:rPr>
          <w:rFonts w:ascii="Arial" w:cs="Arial" w:eastAsia="Arial" w:hAnsi="Arial"/>
          <w:sz w:val="18"/>
          <w:szCs w:val="18"/>
          <w:b w:val="1"/>
          <w:bCs w:val="1"/>
          <w:color w:val="auto"/>
        </w:rPr>
        <w:t>(In millions,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2449830</wp:posOffset>
            </wp:positionH>
            <wp:positionV relativeFrom="paragraph">
              <wp:posOffset>209550</wp:posOffset>
            </wp:positionV>
            <wp:extent cx="33534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60" w:type="dxa"/>
            <w:vAlign w:val="bottom"/>
            <w:gridSpan w:val="5"/>
          </w:tcPr>
          <w:p>
            <w:pPr>
              <w:jc w:val="center"/>
              <w:ind w:left="568"/>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38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5"/>
          </w:tcPr>
          <w:p>
            <w:pPr>
              <w:jc w:val="center"/>
              <w:ind w:left="548"/>
              <w:spacing w:after="0"/>
              <w:rPr>
                <w:sz w:val="20"/>
                <w:szCs w:val="20"/>
                <w:color w:val="auto"/>
              </w:rPr>
            </w:pPr>
            <w:r>
              <w:rPr>
                <w:rFonts w:ascii="Arial" w:cs="Arial" w:eastAsia="Arial" w:hAnsi="Arial"/>
                <w:sz w:val="14"/>
                <w:szCs w:val="14"/>
                <w:b w:val="1"/>
                <w:bCs w:val="1"/>
                <w:color w:val="auto"/>
                <w:w w:val="91"/>
              </w:rPr>
              <w:t>September 30, 2018</w:t>
            </w: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w w:val="96"/>
              </w:rPr>
              <w:t>Subsea</w:t>
            </w:r>
          </w:p>
        </w:tc>
        <w:tc>
          <w:tcPr>
            <w:tcW w:w="100" w:type="dxa"/>
            <w:vAlign w:val="bottom"/>
            <w:vMerge w:val="restart"/>
          </w:tcPr>
          <w:p>
            <w:pPr>
              <w:spacing w:after="0"/>
              <w:rPr>
                <w:sz w:val="13"/>
                <w:szCs w:val="13"/>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3"/>
              </w:rPr>
              <w:t>Onshore/Offshore</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9"/>
              </w:rPr>
              <w:t>Surface</w:t>
            </w:r>
          </w:p>
        </w:tc>
        <w:tc>
          <w:tcPr>
            <w:tcW w:w="100" w:type="dxa"/>
            <w:vAlign w:val="bottom"/>
          </w:tcPr>
          <w:p>
            <w:pPr>
              <w:spacing w:after="0"/>
              <w:rPr>
                <w:sz w:val="13"/>
                <w:szCs w:val="13"/>
                <w:color w:val="auto"/>
              </w:rPr>
            </w:pPr>
          </w:p>
        </w:tc>
        <w:tc>
          <w:tcPr>
            <w:tcW w:w="9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Corporate</w:t>
            </w:r>
          </w:p>
        </w:tc>
        <w:tc>
          <w:tcPr>
            <w:tcW w:w="200" w:type="dxa"/>
            <w:vAlign w:val="bottom"/>
          </w:tcPr>
          <w:p>
            <w:pPr>
              <w:spacing w:after="0"/>
              <w:rPr>
                <w:sz w:val="13"/>
                <w:szCs w:val="13"/>
                <w:color w:val="auto"/>
              </w:rPr>
            </w:pPr>
          </w:p>
        </w:tc>
        <w:tc>
          <w:tcPr>
            <w:tcW w:w="7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8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Technologies</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and Other</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3860" w:type="dxa"/>
            <w:vAlign w:val="bottom"/>
          </w:tcPr>
          <w:p>
            <w:pPr>
              <w:spacing w:after="0"/>
              <w:rPr>
                <w:sz w:val="20"/>
                <w:szCs w:val="20"/>
                <w:color w:val="auto"/>
              </w:rPr>
            </w:pPr>
            <w:r>
              <w:rPr>
                <w:rFonts w:ascii="Arial" w:cs="Arial" w:eastAsia="Arial" w:hAnsi="Arial"/>
                <w:sz w:val="14"/>
                <w:szCs w:val="14"/>
                <w:color w:val="auto"/>
              </w:rPr>
              <w:t>Revenue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1,209.1</w:t>
            </w:r>
          </w:p>
        </w:tc>
        <w:tc>
          <w:tcPr>
            <w:tcW w:w="1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1,532.5</w:t>
            </w:r>
          </w:p>
        </w:tc>
        <w:tc>
          <w:tcPr>
            <w:tcW w:w="120" w:type="dxa"/>
            <w:vAlign w:val="bottom"/>
          </w:tcPr>
          <w:p>
            <w:pPr>
              <w:spacing w:after="0"/>
              <w:rPr>
                <w:sz w:val="21"/>
                <w:szCs w:val="21"/>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402.2</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3,143.8</w:t>
            </w:r>
          </w:p>
        </w:tc>
        <w:tc>
          <w:tcPr>
            <w:tcW w:w="0" w:type="dxa"/>
            <w:vAlign w:val="bottom"/>
          </w:tcPr>
          <w:p>
            <w:pPr>
              <w:spacing w:after="0"/>
              <w:rPr>
                <w:sz w:val="1"/>
                <w:szCs w:val="1"/>
                <w:color w:val="auto"/>
              </w:rPr>
            </w:pPr>
          </w:p>
        </w:tc>
      </w:tr>
      <w:tr>
        <w:trPr>
          <w:trHeight w:val="486"/>
        </w:trPr>
        <w:tc>
          <w:tcPr>
            <w:tcW w:w="3860" w:type="dxa"/>
            <w:vAlign w:val="bottom"/>
          </w:tcPr>
          <w:p>
            <w:pPr>
              <w:spacing w:after="0"/>
              <w:rPr>
                <w:sz w:val="20"/>
                <w:szCs w:val="20"/>
                <w:color w:val="auto"/>
              </w:rPr>
            </w:pPr>
            <w:r>
              <w:rPr>
                <w:rFonts w:ascii="Arial" w:cs="Arial" w:eastAsia="Arial" w:hAnsi="Arial"/>
                <w:sz w:val="14"/>
                <w:szCs w:val="14"/>
                <w:color w:val="auto"/>
              </w:rPr>
              <w:t>Operating profit, as reported (pre-tax)</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79.7</w:t>
            </w:r>
          </w:p>
        </w:tc>
        <w:tc>
          <w:tcPr>
            <w:tcW w:w="100" w:type="dxa"/>
            <w:vAlign w:val="bottom"/>
          </w:tcPr>
          <w:p>
            <w:pPr>
              <w:spacing w:after="0"/>
              <w:rPr>
                <w:sz w:val="24"/>
                <w:szCs w:val="24"/>
                <w:color w:val="auto"/>
              </w:rPr>
            </w:pP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243.4</w:t>
            </w:r>
          </w:p>
        </w:tc>
        <w:tc>
          <w:tcPr>
            <w:tcW w:w="120" w:type="dxa"/>
            <w:vAlign w:val="bottom"/>
          </w:tcPr>
          <w:p>
            <w:pPr>
              <w:spacing w:after="0"/>
              <w:rPr>
                <w:sz w:val="24"/>
                <w:szCs w:val="2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51.9</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(68.1)</w:t>
            </w:r>
          </w:p>
        </w:tc>
        <w:tc>
          <w:tcPr>
            <w:tcW w:w="1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306.9</w:t>
            </w:r>
          </w:p>
        </w:tc>
        <w:tc>
          <w:tcPr>
            <w:tcW w:w="0" w:type="dxa"/>
            <w:vAlign w:val="bottom"/>
          </w:tcPr>
          <w:p>
            <w:pPr>
              <w:spacing w:after="0"/>
              <w:rPr>
                <w:sz w:val="1"/>
                <w:szCs w:val="1"/>
                <w:color w:val="auto"/>
              </w:rPr>
            </w:pPr>
          </w:p>
        </w:tc>
      </w:tr>
      <w:tr>
        <w:trPr>
          <w:trHeight w:val="486"/>
        </w:trPr>
        <w:tc>
          <w:tcPr>
            <w:tcW w:w="3860" w:type="dxa"/>
            <w:vAlign w:val="bottom"/>
          </w:tcPr>
          <w:p>
            <w:pPr>
              <w:spacing w:after="0"/>
              <w:rPr>
                <w:sz w:val="20"/>
                <w:szCs w:val="20"/>
                <w:color w:val="auto"/>
              </w:rPr>
            </w:pPr>
            <w:r>
              <w:rPr>
                <w:rFonts w:ascii="Arial" w:cs="Arial" w:eastAsia="Arial" w:hAnsi="Arial"/>
                <w:sz w:val="14"/>
                <w:szCs w:val="14"/>
                <w:color w:val="auto"/>
              </w:rPr>
              <w:t>Charges and (credits):</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60" w:type="dxa"/>
            <w:vAlign w:val="bottom"/>
          </w:tcPr>
          <w:p>
            <w:pPr>
              <w:ind w:left="240"/>
              <w:spacing w:after="0"/>
              <w:rPr>
                <w:sz w:val="20"/>
                <w:szCs w:val="20"/>
                <w:color w:val="auto"/>
              </w:rPr>
            </w:pPr>
            <w:r>
              <w:rPr>
                <w:rFonts w:ascii="Arial" w:cs="Arial" w:eastAsia="Arial" w:hAnsi="Arial"/>
                <w:sz w:val="14"/>
                <w:szCs w:val="14"/>
                <w:color w:val="auto"/>
              </w:rPr>
              <w:t>Impairment and other charges</w:t>
            </w:r>
          </w:p>
        </w:tc>
        <w:tc>
          <w:tcPr>
            <w:tcW w:w="160" w:type="dxa"/>
            <w:vAlign w:val="bottom"/>
          </w:tcPr>
          <w:p>
            <w:pPr>
              <w:spacing w:after="0"/>
              <w:rPr>
                <w:sz w:val="23"/>
                <w:szCs w:val="23"/>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70"/>
        </w:trPr>
        <w:tc>
          <w:tcPr>
            <w:tcW w:w="3860" w:type="dxa"/>
            <w:vAlign w:val="bottom"/>
          </w:tcPr>
          <w:p>
            <w:pPr>
              <w:ind w:left="240"/>
              <w:spacing w:after="0"/>
              <w:rPr>
                <w:sz w:val="20"/>
                <w:szCs w:val="20"/>
                <w:color w:val="auto"/>
              </w:rPr>
            </w:pPr>
            <w:r>
              <w:rPr>
                <w:rFonts w:ascii="Arial" w:cs="Arial" w:eastAsia="Arial" w:hAnsi="Arial"/>
                <w:sz w:val="14"/>
                <w:szCs w:val="14"/>
                <w:color w:val="auto"/>
              </w:rPr>
              <w:t>Restructuring and other severance charges</w:t>
            </w:r>
          </w:p>
        </w:tc>
        <w:tc>
          <w:tcPr>
            <w:tcW w:w="160" w:type="dxa"/>
            <w:vAlign w:val="bottom"/>
          </w:tcPr>
          <w:p>
            <w:pPr>
              <w:spacing w:after="0"/>
              <w:rPr>
                <w:sz w:val="23"/>
                <w:szCs w:val="23"/>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270"/>
        </w:trPr>
        <w:tc>
          <w:tcPr>
            <w:tcW w:w="3860" w:type="dxa"/>
            <w:vAlign w:val="bottom"/>
          </w:tcPr>
          <w:p>
            <w:pPr>
              <w:ind w:left="240"/>
              <w:spacing w:after="0"/>
              <w:rPr>
                <w:sz w:val="20"/>
                <w:szCs w:val="20"/>
                <w:color w:val="auto"/>
              </w:rPr>
            </w:pPr>
            <w:r>
              <w:rPr>
                <w:rFonts w:ascii="Arial" w:cs="Arial" w:eastAsia="Arial" w:hAnsi="Arial"/>
                <w:sz w:val="14"/>
                <w:szCs w:val="14"/>
                <w:color w:val="auto"/>
              </w:rPr>
              <w:t>Business combination transaction and integration costs</w:t>
            </w:r>
          </w:p>
        </w:tc>
        <w:tc>
          <w:tcPr>
            <w:tcW w:w="160" w:type="dxa"/>
            <w:vAlign w:val="bottom"/>
          </w:tcPr>
          <w:p>
            <w:pPr>
              <w:spacing w:after="0"/>
              <w:rPr>
                <w:sz w:val="23"/>
                <w:szCs w:val="23"/>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270"/>
        </w:trPr>
        <w:tc>
          <w:tcPr>
            <w:tcW w:w="3860" w:type="dxa"/>
            <w:vAlign w:val="bottom"/>
          </w:tcPr>
          <w:p>
            <w:pPr>
              <w:ind w:left="240"/>
              <w:spacing w:after="0"/>
              <w:rPr>
                <w:sz w:val="20"/>
                <w:szCs w:val="20"/>
                <w:color w:val="auto"/>
              </w:rPr>
            </w:pPr>
            <w:r>
              <w:rPr>
                <w:rFonts w:ascii="Arial" w:cs="Arial" w:eastAsia="Arial" w:hAnsi="Arial"/>
                <w:sz w:val="14"/>
                <w:szCs w:val="14"/>
                <w:color w:val="auto"/>
              </w:rPr>
              <w:t>Gain on divestitures</w:t>
            </w:r>
          </w:p>
        </w:tc>
        <w:tc>
          <w:tcPr>
            <w:tcW w:w="16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(28.3)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(31.6)</w:t>
            </w:r>
          </w:p>
        </w:tc>
        <w:tc>
          <w:tcPr>
            <w:tcW w:w="0" w:type="dxa"/>
            <w:vAlign w:val="bottom"/>
          </w:tcPr>
          <w:p>
            <w:pPr>
              <w:spacing w:after="0"/>
              <w:rPr>
                <w:sz w:val="1"/>
                <w:szCs w:val="1"/>
                <w:color w:val="auto"/>
              </w:rPr>
            </w:pPr>
          </w:p>
        </w:tc>
      </w:tr>
      <w:tr>
        <w:trPr>
          <w:trHeight w:val="169"/>
        </w:trPr>
        <w:tc>
          <w:tcPr>
            <w:tcW w:w="3860" w:type="dxa"/>
            <w:vAlign w:val="bottom"/>
          </w:tcPr>
          <w:p>
            <w:pPr>
              <w:ind w:left="240"/>
              <w:spacing w:after="0"/>
              <w:rPr>
                <w:sz w:val="20"/>
                <w:szCs w:val="20"/>
                <w:color w:val="auto"/>
              </w:rPr>
            </w:pPr>
            <w:r>
              <w:rPr>
                <w:rFonts w:ascii="Arial" w:cs="Arial" w:eastAsia="Arial" w:hAnsi="Arial"/>
                <w:sz w:val="14"/>
                <w:szCs w:val="14"/>
                <w:color w:val="auto"/>
                <w:w w:val="99"/>
              </w:rPr>
              <w:t>Purchase price accounting adjustments - non-amortization</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860" w:type="dxa"/>
            <w:vAlign w:val="bottom"/>
          </w:tcPr>
          <w:p>
            <w:pPr>
              <w:ind w:left="240"/>
              <w:spacing w:after="0"/>
              <w:rPr>
                <w:sz w:val="20"/>
                <w:szCs w:val="20"/>
                <w:color w:val="auto"/>
              </w:rPr>
            </w:pPr>
            <w:r>
              <w:rPr>
                <w:rFonts w:ascii="Arial" w:cs="Arial" w:eastAsia="Arial" w:hAnsi="Arial"/>
                <w:sz w:val="14"/>
                <w:szCs w:val="14"/>
                <w:color w:val="auto"/>
              </w:rPr>
              <w:t>related</w:t>
            </w:r>
          </w:p>
        </w:tc>
        <w:tc>
          <w:tcPr>
            <w:tcW w:w="160" w:type="dxa"/>
            <w:vAlign w:val="bottom"/>
          </w:tcPr>
          <w:p>
            <w:pPr>
              <w:spacing w:after="0"/>
              <w:rPr>
                <w:sz w:val="15"/>
                <w:szCs w:val="15"/>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76"/>
        </w:trPr>
        <w:tc>
          <w:tcPr>
            <w:tcW w:w="3860" w:type="dxa"/>
            <w:vAlign w:val="bottom"/>
          </w:tcPr>
          <w:p>
            <w:pPr>
              <w:ind w:left="240"/>
              <w:spacing w:after="0"/>
              <w:rPr>
                <w:sz w:val="20"/>
                <w:szCs w:val="20"/>
                <w:color w:val="auto"/>
              </w:rPr>
            </w:pPr>
            <w:r>
              <w:rPr>
                <w:rFonts w:ascii="Arial" w:cs="Arial" w:eastAsia="Arial" w:hAnsi="Arial"/>
                <w:sz w:val="14"/>
                <w:szCs w:val="14"/>
                <w:color w:val="auto"/>
                <w:w w:val="94"/>
              </w:rPr>
              <w:t>Purchase price accounting adjustments - amortization related</w:t>
            </w:r>
          </w:p>
        </w:tc>
        <w:tc>
          <w:tcPr>
            <w:tcW w:w="160" w:type="dxa"/>
            <w:vAlign w:val="bottom"/>
          </w:tcPr>
          <w:p>
            <w:pPr>
              <w:spacing w:after="0"/>
              <w:rPr>
                <w:sz w:val="24"/>
                <w:szCs w:val="24"/>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23.4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23.3</w:t>
            </w:r>
          </w:p>
        </w:tc>
        <w:tc>
          <w:tcPr>
            <w:tcW w:w="0" w:type="dxa"/>
            <w:vAlign w:val="bottom"/>
          </w:tcPr>
          <w:p>
            <w:pPr>
              <w:spacing w:after="0"/>
              <w:rPr>
                <w:sz w:val="1"/>
                <w:szCs w:val="1"/>
                <w:color w:val="auto"/>
              </w:rPr>
            </w:pPr>
          </w:p>
        </w:tc>
      </w:tr>
      <w:tr>
        <w:trPr>
          <w:trHeight w:val="244"/>
        </w:trPr>
        <w:tc>
          <w:tcPr>
            <w:tcW w:w="3860" w:type="dxa"/>
            <w:vAlign w:val="bottom"/>
          </w:tcPr>
          <w:p>
            <w:pPr>
              <w:ind w:left="460"/>
              <w:spacing w:after="0"/>
              <w:rPr>
                <w:sz w:val="20"/>
                <w:szCs w:val="20"/>
                <w:color w:val="auto"/>
              </w:rPr>
            </w:pPr>
            <w:r>
              <w:rPr>
                <w:rFonts w:ascii="Arial" w:cs="Arial" w:eastAsia="Arial" w:hAnsi="Arial"/>
                <w:sz w:val="14"/>
                <w:szCs w:val="14"/>
                <w:color w:val="auto"/>
              </w:rPr>
              <w:t>Subtotal</w:t>
            </w:r>
          </w:p>
        </w:tc>
        <w:tc>
          <w:tcPr>
            <w:tcW w:w="16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21.6</w:t>
            </w: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(28.5)</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228"/>
        </w:trPr>
        <w:tc>
          <w:tcPr>
            <w:tcW w:w="38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860" w:type="dxa"/>
            <w:vAlign w:val="bottom"/>
          </w:tcPr>
          <w:p>
            <w:pPr>
              <w:spacing w:after="0"/>
              <w:rPr>
                <w:sz w:val="20"/>
                <w:szCs w:val="20"/>
                <w:color w:val="auto"/>
              </w:rPr>
            </w:pPr>
            <w:r>
              <w:rPr>
                <w:rFonts w:ascii="Arial" w:cs="Arial" w:eastAsia="Arial" w:hAnsi="Arial"/>
                <w:sz w:val="14"/>
                <w:szCs w:val="14"/>
                <w:color w:val="auto"/>
              </w:rPr>
              <w:t>Adjusted Operating profit</w:t>
            </w: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101.3</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214.9</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54.0</w:t>
            </w: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(58.4)</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311.8</w:t>
            </w:r>
          </w:p>
        </w:tc>
        <w:tc>
          <w:tcPr>
            <w:tcW w:w="0" w:type="dxa"/>
            <w:vAlign w:val="bottom"/>
          </w:tcPr>
          <w:p>
            <w:pPr>
              <w:spacing w:after="0"/>
              <w:rPr>
                <w:sz w:val="1"/>
                <w:szCs w:val="1"/>
                <w:color w:val="auto"/>
              </w:rPr>
            </w:pPr>
          </w:p>
        </w:tc>
      </w:tr>
      <w:tr>
        <w:trPr>
          <w:trHeight w:val="474"/>
        </w:trPr>
        <w:tc>
          <w:tcPr>
            <w:tcW w:w="3860" w:type="dxa"/>
            <w:vAlign w:val="bottom"/>
          </w:tcPr>
          <w:p>
            <w:pPr>
              <w:spacing w:after="0"/>
              <w:rPr>
                <w:sz w:val="20"/>
                <w:szCs w:val="20"/>
                <w:color w:val="auto"/>
              </w:rPr>
            </w:pPr>
            <w:r>
              <w:rPr>
                <w:rFonts w:ascii="Arial" w:cs="Arial" w:eastAsia="Arial" w:hAnsi="Arial"/>
                <w:sz w:val="14"/>
                <w:szCs w:val="14"/>
                <w:color w:val="auto"/>
              </w:rPr>
              <w:t>Adjusted Depreciation and amortization</w:t>
            </w:r>
          </w:p>
        </w:tc>
        <w:tc>
          <w:tcPr>
            <w:tcW w:w="160" w:type="dxa"/>
            <w:vAlign w:val="bottom"/>
          </w:tcPr>
          <w:p>
            <w:pPr>
              <w:spacing w:after="0"/>
              <w:rPr>
                <w:sz w:val="24"/>
                <w:szCs w:val="24"/>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87.2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12.4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18.5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118.7</w:t>
            </w:r>
          </w:p>
        </w:tc>
        <w:tc>
          <w:tcPr>
            <w:tcW w:w="0" w:type="dxa"/>
            <w:vAlign w:val="bottom"/>
          </w:tcPr>
          <w:p>
            <w:pPr>
              <w:spacing w:after="0"/>
              <w:rPr>
                <w:sz w:val="1"/>
                <w:szCs w:val="1"/>
                <w:color w:val="auto"/>
              </w:rPr>
            </w:pPr>
          </w:p>
        </w:tc>
      </w:tr>
      <w:tr>
        <w:trPr>
          <w:trHeight w:val="228"/>
        </w:trPr>
        <w:tc>
          <w:tcPr>
            <w:tcW w:w="38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60" w:type="dxa"/>
            <w:vAlign w:val="bottom"/>
          </w:tcPr>
          <w:p>
            <w:pPr>
              <w:spacing w:after="0"/>
              <w:rPr>
                <w:sz w:val="20"/>
                <w:szCs w:val="20"/>
                <w:color w:val="auto"/>
              </w:rPr>
            </w:pPr>
            <w:r>
              <w:rPr>
                <w:rFonts w:ascii="Arial" w:cs="Arial" w:eastAsia="Arial" w:hAnsi="Arial"/>
                <w:sz w:val="14"/>
                <w:szCs w:val="14"/>
                <w:color w:val="auto"/>
              </w:rPr>
              <w:t>Adjusted EBITDA</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188.5</w:t>
            </w:r>
          </w:p>
        </w:tc>
        <w:tc>
          <w:tcPr>
            <w:tcW w:w="100" w:type="dxa"/>
            <w:vAlign w:val="bottom"/>
          </w:tcPr>
          <w:p>
            <w:pPr>
              <w:spacing w:after="0"/>
              <w:rPr>
                <w:sz w:val="20"/>
                <w:szCs w:val="20"/>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227.3</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72.5</w:t>
            </w:r>
          </w:p>
        </w:tc>
        <w:tc>
          <w:tcPr>
            <w:tcW w:w="1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(57.8)</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430.5</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5"/>
        </w:trPr>
        <w:tc>
          <w:tcPr>
            <w:tcW w:w="3860" w:type="dxa"/>
            <w:vAlign w:val="bottom"/>
          </w:tcPr>
          <w:p>
            <w:pPr>
              <w:spacing w:after="0"/>
              <w:rPr>
                <w:sz w:val="20"/>
                <w:szCs w:val="20"/>
                <w:color w:val="auto"/>
              </w:rPr>
            </w:pPr>
            <w:r>
              <w:rPr>
                <w:rFonts w:ascii="Arial" w:cs="Arial" w:eastAsia="Arial" w:hAnsi="Arial"/>
                <w:sz w:val="14"/>
                <w:szCs w:val="14"/>
                <w:color w:val="auto"/>
              </w:rPr>
              <w:t>Operating profit margin, as reported</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15.9%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486"/>
        </w:trPr>
        <w:tc>
          <w:tcPr>
            <w:tcW w:w="3860" w:type="dxa"/>
            <w:vAlign w:val="bottom"/>
          </w:tcPr>
          <w:p>
            <w:pPr>
              <w:spacing w:after="0"/>
              <w:rPr>
                <w:sz w:val="20"/>
                <w:szCs w:val="20"/>
                <w:color w:val="auto"/>
              </w:rPr>
            </w:pPr>
            <w:r>
              <w:rPr>
                <w:rFonts w:ascii="Arial" w:cs="Arial" w:eastAsia="Arial" w:hAnsi="Arial"/>
                <w:sz w:val="14"/>
                <w:szCs w:val="14"/>
                <w:color w:val="auto"/>
              </w:rPr>
              <w:t>Adjusted Operating profit margin</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14.0%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486"/>
        </w:trPr>
        <w:tc>
          <w:tcPr>
            <w:tcW w:w="3860" w:type="dxa"/>
            <w:vAlign w:val="bottom"/>
          </w:tcPr>
          <w:p>
            <w:pPr>
              <w:spacing w:after="0"/>
              <w:rPr>
                <w:sz w:val="20"/>
                <w:szCs w:val="20"/>
                <w:color w:val="auto"/>
              </w:rPr>
            </w:pPr>
            <w:r>
              <w:rPr>
                <w:rFonts w:ascii="Arial" w:cs="Arial" w:eastAsia="Arial" w:hAnsi="Arial"/>
                <w:sz w:val="14"/>
                <w:szCs w:val="14"/>
                <w:color w:val="auto"/>
              </w:rPr>
              <w:t>Adjusted EBITDA margin</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14.8%</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2449830</wp:posOffset>
            </wp:positionH>
            <wp:positionV relativeFrom="paragraph">
              <wp:posOffset>504825</wp:posOffset>
            </wp:positionV>
            <wp:extent cx="33534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60" w:type="dxa"/>
            <w:vAlign w:val="bottom"/>
            <w:gridSpan w:val="5"/>
          </w:tcPr>
          <w:p>
            <w:pPr>
              <w:jc w:val="center"/>
              <w:ind w:left="568"/>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38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5"/>
          </w:tcPr>
          <w:p>
            <w:pPr>
              <w:jc w:val="center"/>
              <w:ind w:left="548"/>
              <w:spacing w:after="0"/>
              <w:rPr>
                <w:sz w:val="20"/>
                <w:szCs w:val="20"/>
                <w:color w:val="auto"/>
              </w:rPr>
            </w:pPr>
            <w:r>
              <w:rPr>
                <w:rFonts w:ascii="Arial" w:cs="Arial" w:eastAsia="Arial" w:hAnsi="Arial"/>
                <w:sz w:val="14"/>
                <w:szCs w:val="14"/>
                <w:b w:val="1"/>
                <w:bCs w:val="1"/>
                <w:color w:val="auto"/>
                <w:w w:val="91"/>
              </w:rPr>
              <w:t>September 30, 2017</w:t>
            </w: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Subsea</w:t>
            </w:r>
          </w:p>
        </w:tc>
        <w:tc>
          <w:tcPr>
            <w:tcW w:w="12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Onshore/Offshore</w:t>
            </w:r>
          </w:p>
        </w:tc>
        <w:tc>
          <w:tcPr>
            <w:tcW w:w="160" w:type="dxa"/>
            <w:vAlign w:val="bottom"/>
          </w:tcPr>
          <w:p>
            <w:pPr>
              <w:spacing w:after="0"/>
              <w:rPr>
                <w:sz w:val="13"/>
                <w:szCs w:val="13"/>
                <w:color w:val="auto"/>
              </w:rPr>
            </w:pPr>
          </w:p>
        </w:tc>
        <w:tc>
          <w:tcPr>
            <w:tcW w:w="9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9"/>
              </w:rPr>
              <w:t>Surface</w:t>
            </w:r>
          </w:p>
        </w:tc>
        <w:tc>
          <w:tcPr>
            <w:tcW w:w="100" w:type="dxa"/>
            <w:vAlign w:val="bottom"/>
          </w:tcPr>
          <w:p>
            <w:pPr>
              <w:spacing w:after="0"/>
              <w:rPr>
                <w:sz w:val="13"/>
                <w:szCs w:val="13"/>
                <w:color w:val="auto"/>
              </w:rPr>
            </w:pPr>
          </w:p>
        </w:tc>
        <w:tc>
          <w:tcPr>
            <w:tcW w:w="9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Corporate</w:t>
            </w:r>
          </w:p>
        </w:tc>
        <w:tc>
          <w:tcPr>
            <w:tcW w:w="200" w:type="dxa"/>
            <w:vAlign w:val="bottom"/>
          </w:tcPr>
          <w:p>
            <w:pPr>
              <w:spacing w:after="0"/>
              <w:rPr>
                <w:sz w:val="13"/>
                <w:szCs w:val="13"/>
                <w:color w:val="auto"/>
              </w:rPr>
            </w:pPr>
          </w:p>
        </w:tc>
        <w:tc>
          <w:tcPr>
            <w:tcW w:w="7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0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6"/>
              </w:rPr>
              <w:t>Technologies</w:t>
            </w:r>
          </w:p>
        </w:tc>
        <w:tc>
          <w:tcPr>
            <w:tcW w:w="100" w:type="dxa"/>
            <w:vAlign w:val="bottom"/>
          </w:tcPr>
          <w:p>
            <w:pPr>
              <w:spacing w:after="0"/>
              <w:rPr>
                <w:sz w:val="16"/>
                <w:szCs w:val="16"/>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and Other</w:t>
            </w: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3860" w:type="dxa"/>
            <w:vAlign w:val="bottom"/>
          </w:tcPr>
          <w:p>
            <w:pPr>
              <w:spacing w:after="0"/>
              <w:rPr>
                <w:sz w:val="20"/>
                <w:szCs w:val="20"/>
                <w:color w:val="auto"/>
              </w:rPr>
            </w:pPr>
            <w:r>
              <w:rPr>
                <w:rFonts w:ascii="Arial" w:cs="Arial" w:eastAsia="Arial" w:hAnsi="Arial"/>
                <w:sz w:val="14"/>
                <w:szCs w:val="14"/>
                <w:color w:val="auto"/>
              </w:rPr>
              <w:t>Revenue</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1,478.2</w:t>
            </w:r>
          </w:p>
        </w:tc>
        <w:tc>
          <w:tcPr>
            <w:tcW w:w="100" w:type="dxa"/>
            <w:vAlign w:val="bottom"/>
          </w:tcPr>
          <w:p>
            <w:pPr>
              <w:spacing w:after="0"/>
              <w:rPr>
                <w:sz w:val="21"/>
                <w:szCs w:val="21"/>
                <w:color w:val="auto"/>
              </w:rPr>
            </w:pPr>
          </w:p>
        </w:tc>
        <w:tc>
          <w:tcPr>
            <w:tcW w:w="2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color w:val="auto"/>
              </w:rPr>
              <w:t>2,308.1</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353.9</w:t>
            </w:r>
          </w:p>
        </w:tc>
        <w:tc>
          <w:tcPr>
            <w:tcW w:w="10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4,140.9</w:t>
            </w:r>
          </w:p>
        </w:tc>
        <w:tc>
          <w:tcPr>
            <w:tcW w:w="0" w:type="dxa"/>
            <w:vAlign w:val="bottom"/>
          </w:tcPr>
          <w:p>
            <w:pPr>
              <w:spacing w:after="0"/>
              <w:rPr>
                <w:sz w:val="1"/>
                <w:szCs w:val="1"/>
                <w:color w:val="auto"/>
              </w:rPr>
            </w:pPr>
          </w:p>
        </w:tc>
      </w:tr>
      <w:tr>
        <w:trPr>
          <w:trHeight w:val="486"/>
        </w:trPr>
        <w:tc>
          <w:tcPr>
            <w:tcW w:w="3860" w:type="dxa"/>
            <w:vAlign w:val="bottom"/>
          </w:tcPr>
          <w:p>
            <w:pPr>
              <w:spacing w:after="0"/>
              <w:rPr>
                <w:sz w:val="20"/>
                <w:szCs w:val="20"/>
                <w:color w:val="auto"/>
              </w:rPr>
            </w:pPr>
            <w:r>
              <w:rPr>
                <w:rFonts w:ascii="Arial" w:cs="Arial" w:eastAsia="Arial" w:hAnsi="Arial"/>
                <w:sz w:val="14"/>
                <w:szCs w:val="14"/>
                <w:color w:val="auto"/>
              </w:rPr>
              <w:t>Operating profit, as reported (pre-tax)</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102.8</w:t>
            </w:r>
          </w:p>
        </w:tc>
        <w:tc>
          <w:tcPr>
            <w:tcW w:w="100" w:type="dxa"/>
            <w:vAlign w:val="bottom"/>
          </w:tcPr>
          <w:p>
            <w:pPr>
              <w:spacing w:after="0"/>
              <w:rPr>
                <w:sz w:val="24"/>
                <w:szCs w:val="24"/>
                <w:color w:val="auto"/>
              </w:rPr>
            </w:pP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206.4</w:t>
            </w:r>
          </w:p>
        </w:tc>
        <w:tc>
          <w:tcPr>
            <w:tcW w:w="120" w:type="dxa"/>
            <w:vAlign w:val="bottom"/>
          </w:tcPr>
          <w:p>
            <w:pPr>
              <w:spacing w:after="0"/>
              <w:rPr>
                <w:sz w:val="24"/>
                <w:szCs w:val="2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49.0</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(42.3)</w:t>
            </w:r>
          </w:p>
        </w:tc>
        <w:tc>
          <w:tcPr>
            <w:tcW w:w="1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315.9</w:t>
            </w:r>
          </w:p>
        </w:tc>
        <w:tc>
          <w:tcPr>
            <w:tcW w:w="0" w:type="dxa"/>
            <w:vAlign w:val="bottom"/>
          </w:tcPr>
          <w:p>
            <w:pPr>
              <w:spacing w:after="0"/>
              <w:rPr>
                <w:sz w:val="1"/>
                <w:szCs w:val="1"/>
                <w:color w:val="auto"/>
              </w:rPr>
            </w:pPr>
          </w:p>
        </w:tc>
      </w:tr>
      <w:tr>
        <w:trPr>
          <w:trHeight w:val="486"/>
        </w:trPr>
        <w:tc>
          <w:tcPr>
            <w:tcW w:w="3860" w:type="dxa"/>
            <w:vAlign w:val="bottom"/>
          </w:tcPr>
          <w:p>
            <w:pPr>
              <w:spacing w:after="0"/>
              <w:rPr>
                <w:sz w:val="20"/>
                <w:szCs w:val="20"/>
                <w:color w:val="auto"/>
              </w:rPr>
            </w:pPr>
            <w:r>
              <w:rPr>
                <w:rFonts w:ascii="Arial" w:cs="Arial" w:eastAsia="Arial" w:hAnsi="Arial"/>
                <w:sz w:val="14"/>
                <w:szCs w:val="14"/>
                <w:color w:val="auto"/>
              </w:rPr>
              <w:t>Charges and (credits):</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60" w:type="dxa"/>
            <w:vAlign w:val="bottom"/>
          </w:tcPr>
          <w:p>
            <w:pPr>
              <w:ind w:left="240"/>
              <w:spacing w:after="0"/>
              <w:rPr>
                <w:sz w:val="20"/>
                <w:szCs w:val="20"/>
                <w:color w:val="auto"/>
              </w:rPr>
            </w:pPr>
            <w:r>
              <w:rPr>
                <w:rFonts w:ascii="Arial" w:cs="Arial" w:eastAsia="Arial" w:hAnsi="Arial"/>
                <w:sz w:val="14"/>
                <w:szCs w:val="14"/>
                <w:color w:val="auto"/>
              </w:rPr>
              <w:t>Impairment and other charges</w:t>
            </w:r>
          </w:p>
        </w:tc>
        <w:tc>
          <w:tcPr>
            <w:tcW w:w="160" w:type="dxa"/>
            <w:vAlign w:val="bottom"/>
          </w:tcPr>
          <w:p>
            <w:pPr>
              <w:spacing w:after="0"/>
              <w:rPr>
                <w:sz w:val="23"/>
                <w:szCs w:val="23"/>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270"/>
        </w:trPr>
        <w:tc>
          <w:tcPr>
            <w:tcW w:w="3860" w:type="dxa"/>
            <w:vAlign w:val="bottom"/>
          </w:tcPr>
          <w:p>
            <w:pPr>
              <w:ind w:left="240"/>
              <w:spacing w:after="0"/>
              <w:rPr>
                <w:sz w:val="20"/>
                <w:szCs w:val="20"/>
                <w:color w:val="auto"/>
              </w:rPr>
            </w:pPr>
            <w:r>
              <w:rPr>
                <w:rFonts w:ascii="Arial" w:cs="Arial" w:eastAsia="Arial" w:hAnsi="Arial"/>
                <w:sz w:val="14"/>
                <w:szCs w:val="14"/>
                <w:color w:val="auto"/>
              </w:rPr>
              <w:t>Restructuring and other severance charges</w:t>
            </w:r>
          </w:p>
        </w:tc>
        <w:tc>
          <w:tcPr>
            <w:tcW w:w="160" w:type="dxa"/>
            <w:vAlign w:val="bottom"/>
          </w:tcPr>
          <w:p>
            <w:pPr>
              <w:spacing w:after="0"/>
              <w:rPr>
                <w:sz w:val="23"/>
                <w:szCs w:val="23"/>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21.4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28.9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51.2</w:t>
            </w:r>
          </w:p>
        </w:tc>
        <w:tc>
          <w:tcPr>
            <w:tcW w:w="0" w:type="dxa"/>
            <w:vAlign w:val="bottom"/>
          </w:tcPr>
          <w:p>
            <w:pPr>
              <w:spacing w:after="0"/>
              <w:rPr>
                <w:sz w:val="1"/>
                <w:szCs w:val="1"/>
                <w:color w:val="auto"/>
              </w:rPr>
            </w:pPr>
          </w:p>
        </w:tc>
      </w:tr>
      <w:tr>
        <w:trPr>
          <w:trHeight w:val="270"/>
        </w:trPr>
        <w:tc>
          <w:tcPr>
            <w:tcW w:w="3860" w:type="dxa"/>
            <w:vAlign w:val="bottom"/>
          </w:tcPr>
          <w:p>
            <w:pPr>
              <w:ind w:left="240"/>
              <w:spacing w:after="0"/>
              <w:rPr>
                <w:sz w:val="20"/>
                <w:szCs w:val="20"/>
                <w:color w:val="auto"/>
              </w:rPr>
            </w:pPr>
            <w:r>
              <w:rPr>
                <w:rFonts w:ascii="Arial" w:cs="Arial" w:eastAsia="Arial" w:hAnsi="Arial"/>
                <w:sz w:val="14"/>
                <w:szCs w:val="14"/>
                <w:color w:val="auto"/>
              </w:rPr>
              <w:t>Business combination transaction and integration costs</w:t>
            </w:r>
          </w:p>
        </w:tc>
        <w:tc>
          <w:tcPr>
            <w:tcW w:w="16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69"/>
        </w:trPr>
        <w:tc>
          <w:tcPr>
            <w:tcW w:w="3860" w:type="dxa"/>
            <w:vAlign w:val="bottom"/>
          </w:tcPr>
          <w:p>
            <w:pPr>
              <w:ind w:left="240"/>
              <w:spacing w:after="0"/>
              <w:rPr>
                <w:sz w:val="20"/>
                <w:szCs w:val="20"/>
                <w:color w:val="auto"/>
              </w:rPr>
            </w:pPr>
            <w:r>
              <w:rPr>
                <w:rFonts w:ascii="Arial" w:cs="Arial" w:eastAsia="Arial" w:hAnsi="Arial"/>
                <w:sz w:val="14"/>
                <w:szCs w:val="14"/>
                <w:color w:val="auto"/>
                <w:w w:val="99"/>
              </w:rPr>
              <w:t>Purchase price accounting adjustments - non-amortization</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860" w:type="dxa"/>
            <w:vAlign w:val="bottom"/>
          </w:tcPr>
          <w:p>
            <w:pPr>
              <w:ind w:left="240"/>
              <w:spacing w:after="0"/>
              <w:rPr>
                <w:sz w:val="20"/>
                <w:szCs w:val="20"/>
                <w:color w:val="auto"/>
              </w:rPr>
            </w:pPr>
            <w:r>
              <w:rPr>
                <w:rFonts w:ascii="Arial" w:cs="Arial" w:eastAsia="Arial" w:hAnsi="Arial"/>
                <w:sz w:val="14"/>
                <w:szCs w:val="14"/>
                <w:color w:val="auto"/>
              </w:rPr>
              <w:t>related</w:t>
            </w:r>
          </w:p>
        </w:tc>
        <w:tc>
          <w:tcPr>
            <w:tcW w:w="160" w:type="dxa"/>
            <w:vAlign w:val="bottom"/>
          </w:tcPr>
          <w:p>
            <w:pPr>
              <w:spacing w:after="0"/>
              <w:rPr>
                <w:sz w:val="15"/>
                <w:szCs w:val="15"/>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11.9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(11.1)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276"/>
        </w:trPr>
        <w:tc>
          <w:tcPr>
            <w:tcW w:w="3860" w:type="dxa"/>
            <w:vAlign w:val="bottom"/>
          </w:tcPr>
          <w:p>
            <w:pPr>
              <w:ind w:left="240"/>
              <w:spacing w:after="0"/>
              <w:rPr>
                <w:sz w:val="20"/>
                <w:szCs w:val="20"/>
                <w:color w:val="auto"/>
              </w:rPr>
            </w:pPr>
            <w:r>
              <w:rPr>
                <w:rFonts w:ascii="Arial" w:cs="Arial" w:eastAsia="Arial" w:hAnsi="Arial"/>
                <w:sz w:val="14"/>
                <w:szCs w:val="14"/>
                <w:color w:val="auto"/>
                <w:w w:val="94"/>
              </w:rPr>
              <w:t>Purchase price accounting adjustments - amortization related</w:t>
            </w:r>
          </w:p>
        </w:tc>
        <w:tc>
          <w:tcPr>
            <w:tcW w:w="160" w:type="dxa"/>
            <w:vAlign w:val="bottom"/>
          </w:tcPr>
          <w:p>
            <w:pPr>
              <w:spacing w:after="0"/>
              <w:rPr>
                <w:sz w:val="24"/>
                <w:szCs w:val="24"/>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32.1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32.0</w:t>
            </w:r>
          </w:p>
        </w:tc>
        <w:tc>
          <w:tcPr>
            <w:tcW w:w="0" w:type="dxa"/>
            <w:vAlign w:val="bottom"/>
          </w:tcPr>
          <w:p>
            <w:pPr>
              <w:spacing w:after="0"/>
              <w:rPr>
                <w:sz w:val="1"/>
                <w:szCs w:val="1"/>
                <w:color w:val="auto"/>
              </w:rPr>
            </w:pPr>
          </w:p>
        </w:tc>
      </w:tr>
      <w:tr>
        <w:trPr>
          <w:trHeight w:val="244"/>
        </w:trPr>
        <w:tc>
          <w:tcPr>
            <w:tcW w:w="3860" w:type="dxa"/>
            <w:vAlign w:val="bottom"/>
          </w:tcPr>
          <w:p>
            <w:pPr>
              <w:ind w:left="460"/>
              <w:spacing w:after="0"/>
              <w:rPr>
                <w:sz w:val="20"/>
                <w:szCs w:val="20"/>
                <w:color w:val="auto"/>
              </w:rPr>
            </w:pPr>
            <w:r>
              <w:rPr>
                <w:rFonts w:ascii="Arial" w:cs="Arial" w:eastAsia="Arial" w:hAnsi="Arial"/>
                <w:sz w:val="14"/>
                <w:szCs w:val="14"/>
                <w:color w:val="auto"/>
              </w:rPr>
              <w:t>Subtotal</w:t>
            </w:r>
          </w:p>
        </w:tc>
        <w:tc>
          <w:tcPr>
            <w:tcW w:w="16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63.8</w:t>
            </w: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color w:val="auto"/>
              </w:rPr>
              <w:t>28.9</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101.3</w:t>
            </w:r>
          </w:p>
        </w:tc>
        <w:tc>
          <w:tcPr>
            <w:tcW w:w="0" w:type="dxa"/>
            <w:vAlign w:val="bottom"/>
          </w:tcPr>
          <w:p>
            <w:pPr>
              <w:spacing w:after="0"/>
              <w:rPr>
                <w:sz w:val="1"/>
                <w:szCs w:val="1"/>
                <w:color w:val="auto"/>
              </w:rPr>
            </w:pPr>
          </w:p>
        </w:tc>
      </w:tr>
      <w:tr>
        <w:trPr>
          <w:trHeight w:val="228"/>
        </w:trPr>
        <w:tc>
          <w:tcPr>
            <w:tcW w:w="38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860" w:type="dxa"/>
            <w:vAlign w:val="bottom"/>
          </w:tcPr>
          <w:p>
            <w:pPr>
              <w:spacing w:after="0"/>
              <w:rPr>
                <w:sz w:val="20"/>
                <w:szCs w:val="20"/>
                <w:color w:val="auto"/>
              </w:rPr>
            </w:pPr>
            <w:r>
              <w:rPr>
                <w:rFonts w:ascii="Arial" w:cs="Arial" w:eastAsia="Arial" w:hAnsi="Arial"/>
                <w:sz w:val="14"/>
                <w:szCs w:val="14"/>
                <w:color w:val="auto"/>
              </w:rPr>
              <w:t>Adjusted Operating profit</w:t>
            </w: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166.6</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235.3</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56.0</w:t>
            </w: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(40.7)</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417.2</w:t>
            </w:r>
          </w:p>
        </w:tc>
        <w:tc>
          <w:tcPr>
            <w:tcW w:w="0" w:type="dxa"/>
            <w:vAlign w:val="bottom"/>
          </w:tcPr>
          <w:p>
            <w:pPr>
              <w:spacing w:after="0"/>
              <w:rPr>
                <w:sz w:val="1"/>
                <w:szCs w:val="1"/>
                <w:color w:val="auto"/>
              </w:rPr>
            </w:pPr>
          </w:p>
        </w:tc>
      </w:tr>
      <w:tr>
        <w:trPr>
          <w:trHeight w:val="474"/>
        </w:trPr>
        <w:tc>
          <w:tcPr>
            <w:tcW w:w="3860" w:type="dxa"/>
            <w:vAlign w:val="bottom"/>
          </w:tcPr>
          <w:p>
            <w:pPr>
              <w:spacing w:after="0"/>
              <w:rPr>
                <w:sz w:val="20"/>
                <w:szCs w:val="20"/>
                <w:color w:val="auto"/>
              </w:rPr>
            </w:pPr>
            <w:r>
              <w:rPr>
                <w:rFonts w:ascii="Arial" w:cs="Arial" w:eastAsia="Arial" w:hAnsi="Arial"/>
                <w:sz w:val="14"/>
                <w:szCs w:val="14"/>
                <w:color w:val="auto"/>
              </w:rPr>
              <w:t>Adjusted Depreciation and amortization</w:t>
            </w:r>
          </w:p>
        </w:tc>
        <w:tc>
          <w:tcPr>
            <w:tcW w:w="160" w:type="dxa"/>
            <w:vAlign w:val="bottom"/>
          </w:tcPr>
          <w:p>
            <w:pPr>
              <w:spacing w:after="0"/>
              <w:rPr>
                <w:sz w:val="24"/>
                <w:szCs w:val="24"/>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93.8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15.2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119.0</w:t>
            </w:r>
          </w:p>
        </w:tc>
        <w:tc>
          <w:tcPr>
            <w:tcW w:w="0" w:type="dxa"/>
            <w:vAlign w:val="bottom"/>
          </w:tcPr>
          <w:p>
            <w:pPr>
              <w:spacing w:after="0"/>
              <w:rPr>
                <w:sz w:val="1"/>
                <w:szCs w:val="1"/>
                <w:color w:val="auto"/>
              </w:rPr>
            </w:pPr>
          </w:p>
        </w:tc>
      </w:tr>
      <w:tr>
        <w:trPr>
          <w:trHeight w:val="228"/>
        </w:trPr>
        <w:tc>
          <w:tcPr>
            <w:tcW w:w="38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60" w:type="dxa"/>
            <w:vAlign w:val="bottom"/>
          </w:tcPr>
          <w:p>
            <w:pPr>
              <w:spacing w:after="0"/>
              <w:rPr>
                <w:sz w:val="20"/>
                <w:szCs w:val="20"/>
                <w:color w:val="auto"/>
              </w:rPr>
            </w:pPr>
            <w:r>
              <w:rPr>
                <w:rFonts w:ascii="Arial" w:cs="Arial" w:eastAsia="Arial" w:hAnsi="Arial"/>
                <w:sz w:val="14"/>
                <w:szCs w:val="14"/>
                <w:color w:val="auto"/>
              </w:rPr>
              <w:t>Adjusted EBITDA</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260.4</w:t>
            </w:r>
          </w:p>
        </w:tc>
        <w:tc>
          <w:tcPr>
            <w:tcW w:w="100" w:type="dxa"/>
            <w:vAlign w:val="bottom"/>
          </w:tcPr>
          <w:p>
            <w:pPr>
              <w:spacing w:after="0"/>
              <w:rPr>
                <w:sz w:val="20"/>
                <w:szCs w:val="20"/>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244.6</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71.2</w:t>
            </w:r>
          </w:p>
        </w:tc>
        <w:tc>
          <w:tcPr>
            <w:tcW w:w="1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(40.0)</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536.2</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5"/>
        </w:trPr>
        <w:tc>
          <w:tcPr>
            <w:tcW w:w="3860" w:type="dxa"/>
            <w:vAlign w:val="bottom"/>
          </w:tcPr>
          <w:p>
            <w:pPr>
              <w:spacing w:after="0"/>
              <w:rPr>
                <w:sz w:val="20"/>
                <w:szCs w:val="20"/>
                <w:color w:val="auto"/>
              </w:rPr>
            </w:pPr>
            <w:r>
              <w:rPr>
                <w:rFonts w:ascii="Arial" w:cs="Arial" w:eastAsia="Arial" w:hAnsi="Arial"/>
                <w:sz w:val="14"/>
                <w:szCs w:val="14"/>
                <w:color w:val="auto"/>
              </w:rPr>
              <w:t>Operating profit margin, as reported</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8.9%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486"/>
        </w:trPr>
        <w:tc>
          <w:tcPr>
            <w:tcW w:w="3860" w:type="dxa"/>
            <w:vAlign w:val="bottom"/>
          </w:tcPr>
          <w:p>
            <w:pPr>
              <w:spacing w:after="0"/>
              <w:rPr>
                <w:sz w:val="20"/>
                <w:szCs w:val="20"/>
                <w:color w:val="auto"/>
              </w:rPr>
            </w:pPr>
            <w:r>
              <w:rPr>
                <w:rFonts w:ascii="Arial" w:cs="Arial" w:eastAsia="Arial" w:hAnsi="Arial"/>
                <w:sz w:val="14"/>
                <w:szCs w:val="14"/>
                <w:color w:val="auto"/>
              </w:rPr>
              <w:t>Adjusted Operating profit margin</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10.2%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140"/>
          </w:cols>
          <w:pgMar w:left="1400" w:top="526" w:right="1359" w:bottom="96" w:gutter="0" w:footer="0" w:header="0"/>
        </w:sectPr>
      </w:pPr>
    </w:p>
    <w:p>
      <w:pPr>
        <w:spacing w:after="0" w:line="104" w:lineRule="exact"/>
        <w:rPr>
          <w:sz w:val="20"/>
          <w:szCs w:val="20"/>
          <w:color w:val="auto"/>
        </w:rPr>
      </w:pPr>
    </w:p>
    <w:p>
      <w:pPr>
        <w:spacing w:after="0"/>
        <w:tabs>
          <w:tab w:leader="none" w:pos="4340" w:val="left"/>
          <w:tab w:leader="none" w:pos="5500" w:val="left"/>
          <w:tab w:leader="none" w:pos="6680" w:val="left"/>
          <w:tab w:leader="none" w:pos="8720" w:val="left"/>
        </w:tabs>
        <w:rPr>
          <w:sz w:val="20"/>
          <w:szCs w:val="20"/>
          <w:color w:val="auto"/>
        </w:rPr>
      </w:pPr>
      <w:r>
        <w:rPr>
          <w:rFonts w:ascii="Arial" w:cs="Arial" w:eastAsia="Arial" w:hAnsi="Arial"/>
          <w:sz w:val="14"/>
          <w:szCs w:val="14"/>
          <w:color w:val="auto"/>
        </w:rPr>
        <w:t>Adjusted EBITDA margin</w:t>
      </w:r>
      <w:r>
        <w:rPr>
          <w:sz w:val="20"/>
          <w:szCs w:val="20"/>
          <w:color w:val="auto"/>
        </w:rPr>
        <w:tab/>
      </w:r>
      <w:r>
        <w:rPr>
          <w:rFonts w:ascii="Arial" w:cs="Arial" w:eastAsia="Arial" w:hAnsi="Arial"/>
          <w:sz w:val="14"/>
          <w:szCs w:val="14"/>
          <w:color w:val="auto"/>
        </w:rPr>
        <w:t>17.6%</w:t>
      </w:r>
      <w:r>
        <w:rPr>
          <w:sz w:val="20"/>
          <w:szCs w:val="20"/>
          <w:color w:val="auto"/>
        </w:rPr>
        <w:tab/>
      </w:r>
      <w:r>
        <w:rPr>
          <w:rFonts w:ascii="Arial" w:cs="Arial" w:eastAsia="Arial" w:hAnsi="Arial"/>
          <w:sz w:val="14"/>
          <w:szCs w:val="14"/>
          <w:color w:val="auto"/>
        </w:rPr>
        <w:t>10.6%</w:t>
      </w:r>
      <w:r>
        <w:rPr>
          <w:sz w:val="20"/>
          <w:szCs w:val="20"/>
          <w:color w:val="auto"/>
        </w:rPr>
        <w:tab/>
      </w:r>
      <w:r>
        <w:rPr>
          <w:rFonts w:ascii="Arial" w:cs="Arial" w:eastAsia="Arial" w:hAnsi="Arial"/>
          <w:sz w:val="14"/>
          <w:szCs w:val="14"/>
          <w:color w:val="auto"/>
        </w:rPr>
        <w:t>20.1%</w:t>
      </w:r>
      <w:r>
        <w:rPr>
          <w:sz w:val="20"/>
          <w:szCs w:val="20"/>
          <w:color w:val="auto"/>
        </w:rPr>
        <w:tab/>
      </w:r>
      <w:r>
        <w:rPr>
          <w:rFonts w:ascii="Arial" w:cs="Arial" w:eastAsia="Arial" w:hAnsi="Arial"/>
          <w:sz w:val="12"/>
          <w:szCs w:val="12"/>
          <w:color w:val="auto"/>
        </w:rPr>
        <w:t>12.9%</w:t>
      </w:r>
    </w:p>
    <w:p>
      <w:pPr>
        <w:sectPr>
          <w:pgSz w:w="11900" w:h="16838" w:orient="portrait"/>
          <w:cols w:equalWidth="0" w:num="1">
            <w:col w:w="9140"/>
          </w:cols>
          <w:pgMar w:left="1400" w:top="526" w:right="1359" w:bottom="96" w:gutter="0" w:footer="0" w:header="0"/>
          <w:type w:val="continuous"/>
        </w:sectPr>
      </w:pPr>
    </w:p>
    <w:bookmarkStart w:id="28" w:name="page29"/>
    <w:bookmarkEnd w:id="28"/>
    <w:p>
      <w:pPr>
        <w:spacing w:after="0"/>
        <w:tabs>
          <w:tab w:leader="none" w:pos="4340" w:val="left"/>
          <w:tab w:leader="none" w:pos="5500" w:val="left"/>
          <w:tab w:leader="none" w:pos="6680" w:val="left"/>
          <w:tab w:leader="none" w:pos="8720" w:val="left"/>
        </w:tabs>
        <w:rPr>
          <w:sz w:val="20"/>
          <w:szCs w:val="20"/>
          <w:color w:val="auto"/>
        </w:rPr>
      </w:pPr>
    </w:p>
    <w:p>
      <w:pPr>
        <w:sectPr>
          <w:pgSz w:w="11900" w:h="16838" w:orient="portrait"/>
          <w:cols w:equalWidth="1" w:num="1" w:space="0"/>
          <w:pgMar w:left="1440" w:top="1440" w:right="1440" w:bottom="875" w:gutter="0" w:footer="0" w:header="0"/>
        </w:sectPr>
      </w:pPr>
    </w:p>
    <w:bookmarkStart w:id="29" w:name="page30"/>
    <w:bookmarkEnd w:id="29"/>
    <w:p>
      <w:pPr>
        <w:jc w:val="center"/>
        <w:ind w:right="40"/>
        <w:spacing w:after="0" w:line="266" w:lineRule="auto"/>
        <w:rPr>
          <w:sz w:val="20"/>
          <w:szCs w:val="20"/>
          <w:color w:val="auto"/>
        </w:rPr>
      </w:pPr>
      <w:r>
        <w:rPr>
          <w:rFonts w:ascii="Arial" w:cs="Arial" w:eastAsia="Arial" w:hAnsi="Arial"/>
          <w:sz w:val="18"/>
          <w:szCs w:val="18"/>
          <w:b w:val="1"/>
          <w:bCs w:val="1"/>
          <w:u w:val="single" w:color="auto"/>
          <w:color w:val="auto"/>
        </w:rPr>
        <w:t xml:space="preserve">TECHNIPFMC PLC AND CONSOLIDATED SUBSIDIARIES RECONCILIATION OF GAAP TO NON-GAAP FINANCIAL MEASURES </w:t>
      </w:r>
      <w:r>
        <w:rPr>
          <w:rFonts w:ascii="Arial" w:cs="Arial" w:eastAsia="Arial" w:hAnsi="Arial"/>
          <w:sz w:val="18"/>
          <w:szCs w:val="18"/>
          <w:b w:val="1"/>
          <w:bCs w:val="1"/>
          <w:color w:val="auto"/>
        </w:rPr>
        <w:t>(In millions,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2449830</wp:posOffset>
            </wp:positionH>
            <wp:positionV relativeFrom="paragraph">
              <wp:posOffset>209550</wp:posOffset>
            </wp:positionV>
            <wp:extent cx="335343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60" w:type="dxa"/>
            <w:vAlign w:val="bottom"/>
            <w:gridSpan w:val="5"/>
          </w:tcPr>
          <w:p>
            <w:pPr>
              <w:ind w:left="72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38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5"/>
          </w:tcPr>
          <w:p>
            <w:pPr>
              <w:ind w:left="740"/>
              <w:spacing w:after="0"/>
              <w:rPr>
                <w:sz w:val="20"/>
                <w:szCs w:val="20"/>
                <w:color w:val="auto"/>
              </w:rPr>
            </w:pPr>
            <w:r>
              <w:rPr>
                <w:rFonts w:ascii="Arial" w:cs="Arial" w:eastAsia="Arial" w:hAnsi="Arial"/>
                <w:sz w:val="14"/>
                <w:szCs w:val="14"/>
                <w:b w:val="1"/>
                <w:bCs w:val="1"/>
                <w:color w:val="auto"/>
                <w:w w:val="99"/>
              </w:rPr>
              <w:t>September 30, 2018</w:t>
            </w: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w w:val="96"/>
              </w:rPr>
              <w:t>Subsea</w:t>
            </w:r>
          </w:p>
        </w:tc>
        <w:tc>
          <w:tcPr>
            <w:tcW w:w="100" w:type="dxa"/>
            <w:vAlign w:val="bottom"/>
            <w:vMerge w:val="restart"/>
          </w:tcPr>
          <w:p>
            <w:pPr>
              <w:spacing w:after="0"/>
              <w:rPr>
                <w:sz w:val="13"/>
                <w:szCs w:val="13"/>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3"/>
              </w:rPr>
              <w:t>Onshore/Offshore</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9"/>
              </w:rPr>
              <w:t>Surface</w:t>
            </w:r>
          </w:p>
        </w:tc>
        <w:tc>
          <w:tcPr>
            <w:tcW w:w="100" w:type="dxa"/>
            <w:vAlign w:val="bottom"/>
          </w:tcPr>
          <w:p>
            <w:pPr>
              <w:spacing w:after="0"/>
              <w:rPr>
                <w:sz w:val="13"/>
                <w:szCs w:val="13"/>
                <w:color w:val="auto"/>
              </w:rPr>
            </w:pPr>
          </w:p>
        </w:tc>
        <w:tc>
          <w:tcPr>
            <w:tcW w:w="9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Corporate</w:t>
            </w:r>
          </w:p>
        </w:tc>
        <w:tc>
          <w:tcPr>
            <w:tcW w:w="200" w:type="dxa"/>
            <w:vAlign w:val="bottom"/>
          </w:tcPr>
          <w:p>
            <w:pPr>
              <w:spacing w:after="0"/>
              <w:rPr>
                <w:sz w:val="13"/>
                <w:szCs w:val="13"/>
                <w:color w:val="auto"/>
              </w:rPr>
            </w:pPr>
          </w:p>
        </w:tc>
        <w:tc>
          <w:tcPr>
            <w:tcW w:w="7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8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Technologies</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and Other</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3860" w:type="dxa"/>
            <w:vAlign w:val="bottom"/>
          </w:tcPr>
          <w:p>
            <w:pPr>
              <w:spacing w:after="0"/>
              <w:rPr>
                <w:sz w:val="20"/>
                <w:szCs w:val="20"/>
                <w:color w:val="auto"/>
              </w:rPr>
            </w:pPr>
            <w:r>
              <w:rPr>
                <w:rFonts w:ascii="Arial" w:cs="Arial" w:eastAsia="Arial" w:hAnsi="Arial"/>
                <w:sz w:val="14"/>
                <w:szCs w:val="14"/>
                <w:color w:val="auto"/>
              </w:rPr>
              <w:t>Revenue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3,606.7</w:t>
            </w:r>
          </w:p>
        </w:tc>
        <w:tc>
          <w:tcPr>
            <w:tcW w:w="1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4,448.3</w:t>
            </w:r>
          </w:p>
        </w:tc>
        <w:tc>
          <w:tcPr>
            <w:tcW w:w="120" w:type="dxa"/>
            <w:vAlign w:val="bottom"/>
          </w:tcPr>
          <w:p>
            <w:pPr>
              <w:spacing w:after="0"/>
              <w:rPr>
                <w:sz w:val="21"/>
                <w:szCs w:val="21"/>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1,174.9</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9,229.9</w:t>
            </w:r>
          </w:p>
        </w:tc>
        <w:tc>
          <w:tcPr>
            <w:tcW w:w="0" w:type="dxa"/>
            <w:vAlign w:val="bottom"/>
          </w:tcPr>
          <w:p>
            <w:pPr>
              <w:spacing w:after="0"/>
              <w:rPr>
                <w:sz w:val="1"/>
                <w:szCs w:val="1"/>
                <w:color w:val="auto"/>
              </w:rPr>
            </w:pPr>
          </w:p>
        </w:tc>
      </w:tr>
      <w:tr>
        <w:trPr>
          <w:trHeight w:val="486"/>
        </w:trPr>
        <w:tc>
          <w:tcPr>
            <w:tcW w:w="3860" w:type="dxa"/>
            <w:vAlign w:val="bottom"/>
          </w:tcPr>
          <w:p>
            <w:pPr>
              <w:spacing w:after="0"/>
              <w:rPr>
                <w:sz w:val="20"/>
                <w:szCs w:val="20"/>
                <w:color w:val="auto"/>
              </w:rPr>
            </w:pPr>
            <w:r>
              <w:rPr>
                <w:rFonts w:ascii="Arial" w:cs="Arial" w:eastAsia="Arial" w:hAnsi="Arial"/>
                <w:sz w:val="14"/>
                <w:szCs w:val="14"/>
                <w:color w:val="auto"/>
              </w:rPr>
              <w:t>Operating profit, as reported (pre-tax)</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210.0</w:t>
            </w:r>
          </w:p>
        </w:tc>
        <w:tc>
          <w:tcPr>
            <w:tcW w:w="100" w:type="dxa"/>
            <w:vAlign w:val="bottom"/>
          </w:tcPr>
          <w:p>
            <w:pPr>
              <w:spacing w:after="0"/>
              <w:rPr>
                <w:sz w:val="24"/>
                <w:szCs w:val="24"/>
                <w:color w:val="auto"/>
              </w:rPr>
            </w:pP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617.6</w:t>
            </w:r>
          </w:p>
        </w:tc>
        <w:tc>
          <w:tcPr>
            <w:tcW w:w="120" w:type="dxa"/>
            <w:vAlign w:val="bottom"/>
          </w:tcPr>
          <w:p>
            <w:pPr>
              <w:spacing w:after="0"/>
              <w:rPr>
                <w:sz w:val="24"/>
                <w:szCs w:val="2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134.0</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760.7</w:t>
            </w:r>
          </w:p>
        </w:tc>
        <w:tc>
          <w:tcPr>
            <w:tcW w:w="0" w:type="dxa"/>
            <w:vAlign w:val="bottom"/>
          </w:tcPr>
          <w:p>
            <w:pPr>
              <w:spacing w:after="0"/>
              <w:rPr>
                <w:sz w:val="1"/>
                <w:szCs w:val="1"/>
                <w:color w:val="auto"/>
              </w:rPr>
            </w:pPr>
          </w:p>
        </w:tc>
      </w:tr>
      <w:tr>
        <w:trPr>
          <w:trHeight w:val="486"/>
        </w:trPr>
        <w:tc>
          <w:tcPr>
            <w:tcW w:w="3860" w:type="dxa"/>
            <w:vAlign w:val="bottom"/>
          </w:tcPr>
          <w:p>
            <w:pPr>
              <w:spacing w:after="0"/>
              <w:rPr>
                <w:sz w:val="20"/>
                <w:szCs w:val="20"/>
                <w:color w:val="auto"/>
              </w:rPr>
            </w:pPr>
            <w:r>
              <w:rPr>
                <w:rFonts w:ascii="Arial" w:cs="Arial" w:eastAsia="Arial" w:hAnsi="Arial"/>
                <w:sz w:val="14"/>
                <w:szCs w:val="14"/>
                <w:color w:val="auto"/>
              </w:rPr>
              <w:t>Charges and (credits):</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60" w:type="dxa"/>
            <w:vAlign w:val="bottom"/>
          </w:tcPr>
          <w:p>
            <w:pPr>
              <w:ind w:left="240"/>
              <w:spacing w:after="0"/>
              <w:rPr>
                <w:sz w:val="20"/>
                <w:szCs w:val="20"/>
                <w:color w:val="auto"/>
              </w:rPr>
            </w:pPr>
            <w:r>
              <w:rPr>
                <w:rFonts w:ascii="Arial" w:cs="Arial" w:eastAsia="Arial" w:hAnsi="Arial"/>
                <w:sz w:val="14"/>
                <w:szCs w:val="14"/>
                <w:color w:val="auto"/>
              </w:rPr>
              <w:t>Impairment and other charges</w:t>
            </w:r>
          </w:p>
        </w:tc>
        <w:tc>
          <w:tcPr>
            <w:tcW w:w="160" w:type="dxa"/>
            <w:vAlign w:val="bottom"/>
          </w:tcPr>
          <w:p>
            <w:pPr>
              <w:spacing w:after="0"/>
              <w:rPr>
                <w:sz w:val="23"/>
                <w:szCs w:val="23"/>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8.6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270"/>
        </w:trPr>
        <w:tc>
          <w:tcPr>
            <w:tcW w:w="3860" w:type="dxa"/>
            <w:vAlign w:val="bottom"/>
          </w:tcPr>
          <w:p>
            <w:pPr>
              <w:ind w:left="240"/>
              <w:spacing w:after="0"/>
              <w:rPr>
                <w:sz w:val="20"/>
                <w:szCs w:val="20"/>
                <w:color w:val="auto"/>
              </w:rPr>
            </w:pPr>
            <w:r>
              <w:rPr>
                <w:rFonts w:ascii="Arial" w:cs="Arial" w:eastAsia="Arial" w:hAnsi="Arial"/>
                <w:sz w:val="14"/>
                <w:szCs w:val="14"/>
                <w:color w:val="auto"/>
              </w:rPr>
              <w:t>Restructuring and other severance charges</w:t>
            </w:r>
          </w:p>
        </w:tc>
        <w:tc>
          <w:tcPr>
            <w:tcW w:w="160" w:type="dxa"/>
            <w:vAlign w:val="bottom"/>
          </w:tcPr>
          <w:p>
            <w:pPr>
              <w:spacing w:after="0"/>
              <w:rPr>
                <w:sz w:val="23"/>
                <w:szCs w:val="23"/>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270"/>
        </w:trPr>
        <w:tc>
          <w:tcPr>
            <w:tcW w:w="3860" w:type="dxa"/>
            <w:vAlign w:val="bottom"/>
          </w:tcPr>
          <w:p>
            <w:pPr>
              <w:ind w:left="240"/>
              <w:spacing w:after="0"/>
              <w:rPr>
                <w:sz w:val="20"/>
                <w:szCs w:val="20"/>
                <w:color w:val="auto"/>
              </w:rPr>
            </w:pPr>
            <w:r>
              <w:rPr>
                <w:rFonts w:ascii="Arial" w:cs="Arial" w:eastAsia="Arial" w:hAnsi="Arial"/>
                <w:sz w:val="14"/>
                <w:szCs w:val="14"/>
                <w:color w:val="auto"/>
              </w:rPr>
              <w:t>Business combination transaction and integration costs</w:t>
            </w:r>
          </w:p>
        </w:tc>
        <w:tc>
          <w:tcPr>
            <w:tcW w:w="160" w:type="dxa"/>
            <w:vAlign w:val="bottom"/>
          </w:tcPr>
          <w:p>
            <w:pPr>
              <w:spacing w:after="0"/>
              <w:rPr>
                <w:sz w:val="23"/>
                <w:szCs w:val="23"/>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20.9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20.9</w:t>
            </w:r>
          </w:p>
        </w:tc>
        <w:tc>
          <w:tcPr>
            <w:tcW w:w="0" w:type="dxa"/>
            <w:vAlign w:val="bottom"/>
          </w:tcPr>
          <w:p>
            <w:pPr>
              <w:spacing w:after="0"/>
              <w:rPr>
                <w:sz w:val="1"/>
                <w:szCs w:val="1"/>
                <w:color w:val="auto"/>
              </w:rPr>
            </w:pPr>
          </w:p>
        </w:tc>
      </w:tr>
      <w:tr>
        <w:trPr>
          <w:trHeight w:val="270"/>
        </w:trPr>
        <w:tc>
          <w:tcPr>
            <w:tcW w:w="3860" w:type="dxa"/>
            <w:vAlign w:val="bottom"/>
          </w:tcPr>
          <w:p>
            <w:pPr>
              <w:ind w:left="240"/>
              <w:spacing w:after="0"/>
              <w:rPr>
                <w:sz w:val="20"/>
                <w:szCs w:val="20"/>
                <w:color w:val="auto"/>
              </w:rPr>
            </w:pPr>
            <w:r>
              <w:rPr>
                <w:rFonts w:ascii="Arial" w:cs="Arial" w:eastAsia="Arial" w:hAnsi="Arial"/>
                <w:sz w:val="14"/>
                <w:szCs w:val="14"/>
                <w:color w:val="auto"/>
              </w:rPr>
              <w:t>Gain on divestitures</w:t>
            </w:r>
          </w:p>
        </w:tc>
        <w:tc>
          <w:tcPr>
            <w:tcW w:w="16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(28.3)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(31.6)</w:t>
            </w:r>
          </w:p>
        </w:tc>
        <w:tc>
          <w:tcPr>
            <w:tcW w:w="0" w:type="dxa"/>
            <w:vAlign w:val="bottom"/>
          </w:tcPr>
          <w:p>
            <w:pPr>
              <w:spacing w:after="0"/>
              <w:rPr>
                <w:sz w:val="1"/>
                <w:szCs w:val="1"/>
                <w:color w:val="auto"/>
              </w:rPr>
            </w:pPr>
          </w:p>
        </w:tc>
      </w:tr>
      <w:tr>
        <w:trPr>
          <w:trHeight w:val="169"/>
        </w:trPr>
        <w:tc>
          <w:tcPr>
            <w:tcW w:w="3860" w:type="dxa"/>
            <w:vAlign w:val="bottom"/>
          </w:tcPr>
          <w:p>
            <w:pPr>
              <w:ind w:left="240"/>
              <w:spacing w:after="0"/>
              <w:rPr>
                <w:sz w:val="20"/>
                <w:szCs w:val="20"/>
                <w:color w:val="auto"/>
              </w:rPr>
            </w:pPr>
            <w:r>
              <w:rPr>
                <w:rFonts w:ascii="Arial" w:cs="Arial" w:eastAsia="Arial" w:hAnsi="Arial"/>
                <w:sz w:val="14"/>
                <w:szCs w:val="14"/>
                <w:color w:val="auto"/>
                <w:w w:val="99"/>
              </w:rPr>
              <w:t>Purchase price accounting adjustments - non-amortization</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860" w:type="dxa"/>
            <w:vAlign w:val="bottom"/>
          </w:tcPr>
          <w:p>
            <w:pPr>
              <w:ind w:left="240"/>
              <w:spacing w:after="0"/>
              <w:rPr>
                <w:sz w:val="20"/>
                <w:szCs w:val="20"/>
                <w:color w:val="auto"/>
              </w:rPr>
            </w:pPr>
            <w:r>
              <w:rPr>
                <w:rFonts w:ascii="Arial" w:cs="Arial" w:eastAsia="Arial" w:hAnsi="Arial"/>
                <w:sz w:val="14"/>
                <w:szCs w:val="14"/>
                <w:color w:val="auto"/>
              </w:rPr>
              <w:t>related</w:t>
            </w:r>
          </w:p>
        </w:tc>
        <w:tc>
          <w:tcPr>
            <w:tcW w:w="160" w:type="dxa"/>
            <w:vAlign w:val="bottom"/>
          </w:tcPr>
          <w:p>
            <w:pPr>
              <w:spacing w:after="0"/>
              <w:rPr>
                <w:sz w:val="15"/>
                <w:szCs w:val="15"/>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276"/>
        </w:trPr>
        <w:tc>
          <w:tcPr>
            <w:tcW w:w="3860" w:type="dxa"/>
            <w:vAlign w:val="bottom"/>
          </w:tcPr>
          <w:p>
            <w:pPr>
              <w:ind w:left="240"/>
              <w:spacing w:after="0"/>
              <w:rPr>
                <w:sz w:val="20"/>
                <w:szCs w:val="20"/>
                <w:color w:val="auto"/>
              </w:rPr>
            </w:pPr>
            <w:r>
              <w:rPr>
                <w:rFonts w:ascii="Arial" w:cs="Arial" w:eastAsia="Arial" w:hAnsi="Arial"/>
                <w:sz w:val="14"/>
                <w:szCs w:val="14"/>
                <w:color w:val="auto"/>
                <w:w w:val="94"/>
              </w:rPr>
              <w:t>Purchase price accounting adjustments - amortization related</w:t>
            </w:r>
          </w:p>
        </w:tc>
        <w:tc>
          <w:tcPr>
            <w:tcW w:w="160" w:type="dxa"/>
            <w:vAlign w:val="bottom"/>
          </w:tcPr>
          <w:p>
            <w:pPr>
              <w:spacing w:after="0"/>
              <w:rPr>
                <w:sz w:val="24"/>
                <w:szCs w:val="24"/>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67.7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67.3</w:t>
            </w:r>
          </w:p>
        </w:tc>
        <w:tc>
          <w:tcPr>
            <w:tcW w:w="0" w:type="dxa"/>
            <w:vAlign w:val="bottom"/>
          </w:tcPr>
          <w:p>
            <w:pPr>
              <w:spacing w:after="0"/>
              <w:rPr>
                <w:sz w:val="1"/>
                <w:szCs w:val="1"/>
                <w:color w:val="auto"/>
              </w:rPr>
            </w:pPr>
          </w:p>
        </w:tc>
      </w:tr>
      <w:tr>
        <w:trPr>
          <w:trHeight w:val="244"/>
        </w:trPr>
        <w:tc>
          <w:tcPr>
            <w:tcW w:w="3860" w:type="dxa"/>
            <w:vAlign w:val="bottom"/>
          </w:tcPr>
          <w:p>
            <w:pPr>
              <w:ind w:left="460"/>
              <w:spacing w:after="0"/>
              <w:rPr>
                <w:sz w:val="20"/>
                <w:szCs w:val="20"/>
                <w:color w:val="auto"/>
              </w:rPr>
            </w:pPr>
            <w:r>
              <w:rPr>
                <w:rFonts w:ascii="Arial" w:cs="Arial" w:eastAsia="Arial" w:hAnsi="Arial"/>
                <w:sz w:val="14"/>
                <w:szCs w:val="14"/>
                <w:color w:val="auto"/>
              </w:rPr>
              <w:t>Subtotal</w:t>
            </w:r>
          </w:p>
        </w:tc>
        <w:tc>
          <w:tcPr>
            <w:tcW w:w="16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77.4</w:t>
            </w: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(34.1)</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13.3</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31.8</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88.4</w:t>
            </w:r>
          </w:p>
        </w:tc>
        <w:tc>
          <w:tcPr>
            <w:tcW w:w="0" w:type="dxa"/>
            <w:vAlign w:val="bottom"/>
          </w:tcPr>
          <w:p>
            <w:pPr>
              <w:spacing w:after="0"/>
              <w:rPr>
                <w:sz w:val="1"/>
                <w:szCs w:val="1"/>
                <w:color w:val="auto"/>
              </w:rPr>
            </w:pPr>
          </w:p>
        </w:tc>
      </w:tr>
      <w:tr>
        <w:trPr>
          <w:trHeight w:val="228"/>
        </w:trPr>
        <w:tc>
          <w:tcPr>
            <w:tcW w:w="38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860" w:type="dxa"/>
            <w:vAlign w:val="bottom"/>
          </w:tcPr>
          <w:p>
            <w:pPr>
              <w:spacing w:after="0"/>
              <w:rPr>
                <w:sz w:val="20"/>
                <w:szCs w:val="20"/>
                <w:color w:val="auto"/>
              </w:rPr>
            </w:pPr>
            <w:r>
              <w:rPr>
                <w:rFonts w:ascii="Arial" w:cs="Arial" w:eastAsia="Arial" w:hAnsi="Arial"/>
                <w:sz w:val="14"/>
                <w:szCs w:val="14"/>
                <w:color w:val="auto"/>
              </w:rPr>
              <w:t>Adjusted Operating profit</w:t>
            </w: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287.4</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583.5</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147.3</w:t>
            </w: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(169.1)</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849.1</w:t>
            </w:r>
          </w:p>
        </w:tc>
        <w:tc>
          <w:tcPr>
            <w:tcW w:w="0" w:type="dxa"/>
            <w:vAlign w:val="bottom"/>
          </w:tcPr>
          <w:p>
            <w:pPr>
              <w:spacing w:after="0"/>
              <w:rPr>
                <w:sz w:val="1"/>
                <w:szCs w:val="1"/>
                <w:color w:val="auto"/>
              </w:rPr>
            </w:pPr>
          </w:p>
        </w:tc>
      </w:tr>
      <w:tr>
        <w:trPr>
          <w:trHeight w:val="474"/>
        </w:trPr>
        <w:tc>
          <w:tcPr>
            <w:tcW w:w="3860" w:type="dxa"/>
            <w:vAlign w:val="bottom"/>
          </w:tcPr>
          <w:p>
            <w:pPr>
              <w:spacing w:after="0"/>
              <w:rPr>
                <w:sz w:val="20"/>
                <w:szCs w:val="20"/>
                <w:color w:val="auto"/>
              </w:rPr>
            </w:pPr>
            <w:r>
              <w:rPr>
                <w:rFonts w:ascii="Arial" w:cs="Arial" w:eastAsia="Arial" w:hAnsi="Arial"/>
                <w:sz w:val="14"/>
                <w:szCs w:val="14"/>
                <w:color w:val="auto"/>
              </w:rPr>
              <w:t>Adjusted Depreciation and amortization</w:t>
            </w:r>
          </w:p>
        </w:tc>
        <w:tc>
          <w:tcPr>
            <w:tcW w:w="160" w:type="dxa"/>
            <w:vAlign w:val="bottom"/>
          </w:tcPr>
          <w:p>
            <w:pPr>
              <w:spacing w:after="0"/>
              <w:rPr>
                <w:sz w:val="24"/>
                <w:szCs w:val="24"/>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264.3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29.7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48.1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345.2</w:t>
            </w:r>
          </w:p>
        </w:tc>
        <w:tc>
          <w:tcPr>
            <w:tcW w:w="0" w:type="dxa"/>
            <w:vAlign w:val="bottom"/>
          </w:tcPr>
          <w:p>
            <w:pPr>
              <w:spacing w:after="0"/>
              <w:rPr>
                <w:sz w:val="1"/>
                <w:szCs w:val="1"/>
                <w:color w:val="auto"/>
              </w:rPr>
            </w:pPr>
          </w:p>
        </w:tc>
      </w:tr>
      <w:tr>
        <w:trPr>
          <w:trHeight w:val="228"/>
        </w:trPr>
        <w:tc>
          <w:tcPr>
            <w:tcW w:w="38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60" w:type="dxa"/>
            <w:vAlign w:val="bottom"/>
          </w:tcPr>
          <w:p>
            <w:pPr>
              <w:spacing w:after="0"/>
              <w:rPr>
                <w:sz w:val="20"/>
                <w:szCs w:val="20"/>
                <w:color w:val="auto"/>
              </w:rPr>
            </w:pPr>
            <w:r>
              <w:rPr>
                <w:rFonts w:ascii="Arial" w:cs="Arial" w:eastAsia="Arial" w:hAnsi="Arial"/>
                <w:sz w:val="14"/>
                <w:szCs w:val="14"/>
                <w:color w:val="auto"/>
              </w:rPr>
              <w:t>Adjusted EBITDA</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551.7</w:t>
            </w:r>
          </w:p>
        </w:tc>
        <w:tc>
          <w:tcPr>
            <w:tcW w:w="100" w:type="dxa"/>
            <w:vAlign w:val="bottom"/>
          </w:tcPr>
          <w:p>
            <w:pPr>
              <w:spacing w:after="0"/>
              <w:rPr>
                <w:sz w:val="20"/>
                <w:szCs w:val="20"/>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613.2</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195.4</w:t>
            </w:r>
          </w:p>
        </w:tc>
        <w:tc>
          <w:tcPr>
            <w:tcW w:w="1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(166.0)</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1,194.3</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5"/>
        </w:trPr>
        <w:tc>
          <w:tcPr>
            <w:tcW w:w="3860" w:type="dxa"/>
            <w:vAlign w:val="bottom"/>
          </w:tcPr>
          <w:p>
            <w:pPr>
              <w:spacing w:after="0"/>
              <w:rPr>
                <w:sz w:val="20"/>
                <w:szCs w:val="20"/>
                <w:color w:val="auto"/>
              </w:rPr>
            </w:pPr>
            <w:r>
              <w:rPr>
                <w:rFonts w:ascii="Arial" w:cs="Arial" w:eastAsia="Arial" w:hAnsi="Arial"/>
                <w:sz w:val="14"/>
                <w:szCs w:val="14"/>
                <w:color w:val="auto"/>
              </w:rPr>
              <w:t>Operating profit margin, as reported</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13.9%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486"/>
        </w:trPr>
        <w:tc>
          <w:tcPr>
            <w:tcW w:w="3860" w:type="dxa"/>
            <w:vAlign w:val="bottom"/>
          </w:tcPr>
          <w:p>
            <w:pPr>
              <w:spacing w:after="0"/>
              <w:rPr>
                <w:sz w:val="20"/>
                <w:szCs w:val="20"/>
                <w:color w:val="auto"/>
              </w:rPr>
            </w:pPr>
            <w:r>
              <w:rPr>
                <w:rFonts w:ascii="Arial" w:cs="Arial" w:eastAsia="Arial" w:hAnsi="Arial"/>
                <w:sz w:val="14"/>
                <w:szCs w:val="14"/>
                <w:color w:val="auto"/>
              </w:rPr>
              <w:t>Adjusted Operating profit margin</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13.1%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486"/>
        </w:trPr>
        <w:tc>
          <w:tcPr>
            <w:tcW w:w="3860" w:type="dxa"/>
            <w:vAlign w:val="bottom"/>
          </w:tcPr>
          <w:p>
            <w:pPr>
              <w:spacing w:after="0"/>
              <w:rPr>
                <w:sz w:val="20"/>
                <w:szCs w:val="20"/>
                <w:color w:val="auto"/>
              </w:rPr>
            </w:pPr>
            <w:r>
              <w:rPr>
                <w:rFonts w:ascii="Arial" w:cs="Arial" w:eastAsia="Arial" w:hAnsi="Arial"/>
                <w:sz w:val="14"/>
                <w:szCs w:val="14"/>
                <w:color w:val="auto"/>
              </w:rPr>
              <w:t>Adjusted EBITDA margin</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13.8%</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2441575</wp:posOffset>
            </wp:positionH>
            <wp:positionV relativeFrom="paragraph">
              <wp:posOffset>504825</wp:posOffset>
            </wp:positionV>
            <wp:extent cx="336169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60" w:type="dxa"/>
            <w:vAlign w:val="bottom"/>
            <w:gridSpan w:val="5"/>
          </w:tcPr>
          <w:p>
            <w:pPr>
              <w:ind w:left="740"/>
              <w:spacing w:after="0"/>
              <w:rPr>
                <w:sz w:val="20"/>
                <w:szCs w:val="20"/>
                <w:color w:val="auto"/>
              </w:rPr>
            </w:pPr>
            <w:r>
              <w:rPr>
                <w:rFonts w:ascii="Arial" w:cs="Arial" w:eastAsia="Arial" w:hAnsi="Arial"/>
                <w:sz w:val="14"/>
                <w:szCs w:val="14"/>
                <w:b w:val="1"/>
                <w:bCs w:val="1"/>
                <w:color w:val="auto"/>
                <w:w w:val="99"/>
              </w:rPr>
              <w:t>Nine Months Ended</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38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5"/>
          </w:tcPr>
          <w:p>
            <w:pPr>
              <w:ind w:left="760"/>
              <w:spacing w:after="0"/>
              <w:rPr>
                <w:sz w:val="20"/>
                <w:szCs w:val="20"/>
                <w:color w:val="auto"/>
              </w:rPr>
            </w:pPr>
            <w:r>
              <w:rPr>
                <w:rFonts w:ascii="Arial" w:cs="Arial" w:eastAsia="Arial" w:hAnsi="Arial"/>
                <w:sz w:val="14"/>
                <w:szCs w:val="14"/>
                <w:b w:val="1"/>
                <w:bCs w:val="1"/>
                <w:color w:val="auto"/>
                <w:w w:val="97"/>
              </w:rPr>
              <w:t>September 30, 2017</w:t>
            </w: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Subsea</w:t>
            </w:r>
          </w:p>
        </w:tc>
        <w:tc>
          <w:tcPr>
            <w:tcW w:w="12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Onshore/Offshore</w:t>
            </w:r>
          </w:p>
        </w:tc>
        <w:tc>
          <w:tcPr>
            <w:tcW w:w="160" w:type="dxa"/>
            <w:vAlign w:val="bottom"/>
          </w:tcPr>
          <w:p>
            <w:pPr>
              <w:spacing w:after="0"/>
              <w:rPr>
                <w:sz w:val="13"/>
                <w:szCs w:val="13"/>
                <w:color w:val="auto"/>
              </w:rPr>
            </w:pPr>
          </w:p>
        </w:tc>
        <w:tc>
          <w:tcPr>
            <w:tcW w:w="9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9"/>
              </w:rPr>
              <w:t>Surface</w:t>
            </w:r>
          </w:p>
        </w:tc>
        <w:tc>
          <w:tcPr>
            <w:tcW w:w="120" w:type="dxa"/>
            <w:vAlign w:val="bottom"/>
          </w:tcPr>
          <w:p>
            <w:pPr>
              <w:spacing w:after="0"/>
              <w:rPr>
                <w:sz w:val="13"/>
                <w:szCs w:val="13"/>
                <w:color w:val="auto"/>
              </w:rPr>
            </w:pPr>
          </w:p>
        </w:tc>
        <w:tc>
          <w:tcPr>
            <w:tcW w:w="88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Corporate</w:t>
            </w:r>
          </w:p>
        </w:tc>
        <w:tc>
          <w:tcPr>
            <w:tcW w:w="200" w:type="dxa"/>
            <w:vAlign w:val="bottom"/>
          </w:tcPr>
          <w:p>
            <w:pPr>
              <w:spacing w:after="0"/>
              <w:rPr>
                <w:sz w:val="13"/>
                <w:szCs w:val="13"/>
                <w:color w:val="auto"/>
              </w:rPr>
            </w:pPr>
          </w:p>
        </w:tc>
        <w:tc>
          <w:tcPr>
            <w:tcW w:w="7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60" w:type="dxa"/>
            <w:vAlign w:val="bottom"/>
            <w:gridSpan w:val="3"/>
            <w:vMerge w:val="continue"/>
          </w:tcPr>
          <w:p>
            <w:pPr>
              <w:spacing w:after="0"/>
              <w:rPr>
                <w:sz w:val="16"/>
                <w:szCs w:val="16"/>
                <w:color w:val="auto"/>
              </w:rPr>
            </w:pPr>
          </w:p>
        </w:tc>
        <w:tc>
          <w:tcPr>
            <w:tcW w:w="10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6"/>
              </w:rPr>
              <w:t>Technologies</w:t>
            </w:r>
          </w:p>
        </w:tc>
        <w:tc>
          <w:tcPr>
            <w:tcW w:w="120" w:type="dxa"/>
            <w:vAlign w:val="bottom"/>
          </w:tcPr>
          <w:p>
            <w:pPr>
              <w:spacing w:after="0"/>
              <w:rPr>
                <w:sz w:val="16"/>
                <w:szCs w:val="16"/>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and Other</w:t>
            </w: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3840" w:type="dxa"/>
            <w:vAlign w:val="bottom"/>
          </w:tcPr>
          <w:p>
            <w:pPr>
              <w:spacing w:after="0"/>
              <w:rPr>
                <w:sz w:val="20"/>
                <w:szCs w:val="20"/>
                <w:color w:val="auto"/>
              </w:rPr>
            </w:pPr>
            <w:r>
              <w:rPr>
                <w:rFonts w:ascii="Arial" w:cs="Arial" w:eastAsia="Arial" w:hAnsi="Arial"/>
                <w:sz w:val="14"/>
                <w:szCs w:val="14"/>
                <w:color w:val="auto"/>
              </w:rPr>
              <w:t>Revenue</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4,585.2</w:t>
            </w:r>
          </w:p>
        </w:tc>
        <w:tc>
          <w:tcPr>
            <w:tcW w:w="120" w:type="dxa"/>
            <w:vAlign w:val="bottom"/>
          </w:tcPr>
          <w:p>
            <w:pPr>
              <w:spacing w:after="0"/>
              <w:rPr>
                <w:sz w:val="21"/>
                <w:szCs w:val="21"/>
                <w:color w:val="auto"/>
              </w:rPr>
            </w:pPr>
          </w:p>
        </w:tc>
        <w:tc>
          <w:tcPr>
            <w:tcW w:w="2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color w:val="auto"/>
              </w:rPr>
              <w:t>5,885.0</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902.3</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11,373.9</w:t>
            </w:r>
          </w:p>
        </w:tc>
        <w:tc>
          <w:tcPr>
            <w:tcW w:w="0" w:type="dxa"/>
            <w:vAlign w:val="bottom"/>
          </w:tcPr>
          <w:p>
            <w:pPr>
              <w:spacing w:after="0"/>
              <w:rPr>
                <w:sz w:val="1"/>
                <w:szCs w:val="1"/>
                <w:color w:val="auto"/>
              </w:rPr>
            </w:pPr>
          </w:p>
        </w:tc>
      </w:tr>
      <w:tr>
        <w:trPr>
          <w:trHeight w:val="486"/>
        </w:trPr>
        <w:tc>
          <w:tcPr>
            <w:tcW w:w="3840" w:type="dxa"/>
            <w:vAlign w:val="bottom"/>
          </w:tcPr>
          <w:p>
            <w:pPr>
              <w:spacing w:after="0"/>
              <w:rPr>
                <w:sz w:val="20"/>
                <w:szCs w:val="20"/>
                <w:color w:val="auto"/>
              </w:rPr>
            </w:pPr>
            <w:r>
              <w:rPr>
                <w:rFonts w:ascii="Arial" w:cs="Arial" w:eastAsia="Arial" w:hAnsi="Arial"/>
                <w:sz w:val="14"/>
                <w:szCs w:val="14"/>
                <w:color w:val="auto"/>
              </w:rPr>
              <w:t>Operating profit, as reported (pre-tax)</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393.1</w:t>
            </w:r>
          </w:p>
        </w:tc>
        <w:tc>
          <w:tcPr>
            <w:tcW w:w="120" w:type="dxa"/>
            <w:vAlign w:val="bottom"/>
          </w:tcPr>
          <w:p>
            <w:pPr>
              <w:spacing w:after="0"/>
              <w:rPr>
                <w:sz w:val="24"/>
                <w:szCs w:val="24"/>
                <w:color w:val="auto"/>
              </w:rPr>
            </w:pP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08"/>
              <w:spacing w:after="0"/>
              <w:rPr>
                <w:sz w:val="20"/>
                <w:szCs w:val="20"/>
                <w:color w:val="auto"/>
              </w:rPr>
            </w:pPr>
            <w:r>
              <w:rPr>
                <w:rFonts w:ascii="Arial" w:cs="Arial" w:eastAsia="Arial" w:hAnsi="Arial"/>
                <w:sz w:val="14"/>
                <w:szCs w:val="14"/>
                <w:color w:val="auto"/>
              </w:rPr>
              <w:t>553.7</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29.4</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(224.3)</w:t>
            </w:r>
          </w:p>
        </w:tc>
        <w:tc>
          <w:tcPr>
            <w:tcW w:w="1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751.9</w:t>
            </w:r>
          </w:p>
        </w:tc>
        <w:tc>
          <w:tcPr>
            <w:tcW w:w="0" w:type="dxa"/>
            <w:vAlign w:val="bottom"/>
          </w:tcPr>
          <w:p>
            <w:pPr>
              <w:spacing w:after="0"/>
              <w:rPr>
                <w:sz w:val="1"/>
                <w:szCs w:val="1"/>
                <w:color w:val="auto"/>
              </w:rPr>
            </w:pPr>
          </w:p>
        </w:tc>
      </w:tr>
      <w:tr>
        <w:trPr>
          <w:trHeight w:val="486"/>
        </w:trPr>
        <w:tc>
          <w:tcPr>
            <w:tcW w:w="3840" w:type="dxa"/>
            <w:vAlign w:val="bottom"/>
          </w:tcPr>
          <w:p>
            <w:pPr>
              <w:spacing w:after="0"/>
              <w:rPr>
                <w:sz w:val="20"/>
                <w:szCs w:val="20"/>
                <w:color w:val="auto"/>
              </w:rPr>
            </w:pPr>
            <w:r>
              <w:rPr>
                <w:rFonts w:ascii="Arial" w:cs="Arial" w:eastAsia="Arial" w:hAnsi="Arial"/>
                <w:sz w:val="14"/>
                <w:szCs w:val="14"/>
                <w:color w:val="auto"/>
              </w:rPr>
              <w:t>Charges and (credits):</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40" w:type="dxa"/>
            <w:vAlign w:val="bottom"/>
          </w:tcPr>
          <w:p>
            <w:pPr>
              <w:ind w:left="240"/>
              <w:spacing w:after="0"/>
              <w:rPr>
                <w:sz w:val="20"/>
                <w:szCs w:val="20"/>
                <w:color w:val="auto"/>
              </w:rPr>
            </w:pPr>
            <w:r>
              <w:rPr>
                <w:rFonts w:ascii="Arial" w:cs="Arial" w:eastAsia="Arial" w:hAnsi="Arial"/>
                <w:sz w:val="14"/>
                <w:szCs w:val="14"/>
                <w:color w:val="auto"/>
              </w:rPr>
              <w:t>Impairment and other charges</w:t>
            </w:r>
          </w:p>
        </w:tc>
        <w:tc>
          <w:tcPr>
            <w:tcW w:w="160" w:type="dxa"/>
            <w:vAlign w:val="bottom"/>
          </w:tcPr>
          <w:p>
            <w:pPr>
              <w:spacing w:after="0"/>
              <w:rPr>
                <w:sz w:val="23"/>
                <w:szCs w:val="23"/>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270"/>
        </w:trPr>
        <w:tc>
          <w:tcPr>
            <w:tcW w:w="3840" w:type="dxa"/>
            <w:vAlign w:val="bottom"/>
          </w:tcPr>
          <w:p>
            <w:pPr>
              <w:ind w:left="240"/>
              <w:spacing w:after="0"/>
              <w:rPr>
                <w:sz w:val="20"/>
                <w:szCs w:val="20"/>
                <w:color w:val="auto"/>
              </w:rPr>
            </w:pPr>
            <w:r>
              <w:rPr>
                <w:rFonts w:ascii="Arial" w:cs="Arial" w:eastAsia="Arial" w:hAnsi="Arial"/>
                <w:sz w:val="14"/>
                <w:szCs w:val="14"/>
                <w:color w:val="auto"/>
              </w:rPr>
              <w:t>Restructuring and other severance charges</w:t>
            </w:r>
          </w:p>
        </w:tc>
        <w:tc>
          <w:tcPr>
            <w:tcW w:w="160" w:type="dxa"/>
            <w:vAlign w:val="bottom"/>
          </w:tcPr>
          <w:p>
            <w:pPr>
              <w:spacing w:after="0"/>
              <w:rPr>
                <w:sz w:val="23"/>
                <w:szCs w:val="23"/>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33.5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208"/>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47.8</w:t>
            </w:r>
          </w:p>
        </w:tc>
        <w:tc>
          <w:tcPr>
            <w:tcW w:w="0" w:type="dxa"/>
            <w:vAlign w:val="bottom"/>
          </w:tcPr>
          <w:p>
            <w:pPr>
              <w:spacing w:after="0"/>
              <w:rPr>
                <w:sz w:val="1"/>
                <w:szCs w:val="1"/>
                <w:color w:val="auto"/>
              </w:rPr>
            </w:pPr>
          </w:p>
        </w:tc>
      </w:tr>
      <w:tr>
        <w:trPr>
          <w:trHeight w:val="270"/>
        </w:trPr>
        <w:tc>
          <w:tcPr>
            <w:tcW w:w="3840" w:type="dxa"/>
            <w:vAlign w:val="bottom"/>
          </w:tcPr>
          <w:p>
            <w:pPr>
              <w:ind w:left="240"/>
              <w:spacing w:after="0"/>
              <w:rPr>
                <w:sz w:val="20"/>
                <w:szCs w:val="20"/>
                <w:color w:val="auto"/>
              </w:rPr>
            </w:pPr>
            <w:r>
              <w:rPr>
                <w:rFonts w:ascii="Arial" w:cs="Arial" w:eastAsia="Arial" w:hAnsi="Arial"/>
                <w:sz w:val="14"/>
                <w:szCs w:val="14"/>
                <w:color w:val="auto"/>
              </w:rPr>
              <w:t>Business combination transaction and integration costs</w:t>
            </w:r>
          </w:p>
        </w:tc>
        <w:tc>
          <w:tcPr>
            <w:tcW w:w="160" w:type="dxa"/>
            <w:vAlign w:val="bottom"/>
          </w:tcPr>
          <w:p>
            <w:pPr>
              <w:spacing w:after="0"/>
              <w:rPr>
                <w:sz w:val="23"/>
                <w:szCs w:val="23"/>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87.2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87.2</w:t>
            </w:r>
          </w:p>
        </w:tc>
        <w:tc>
          <w:tcPr>
            <w:tcW w:w="0" w:type="dxa"/>
            <w:vAlign w:val="bottom"/>
          </w:tcPr>
          <w:p>
            <w:pPr>
              <w:spacing w:after="0"/>
              <w:rPr>
                <w:sz w:val="1"/>
                <w:szCs w:val="1"/>
                <w:color w:val="auto"/>
              </w:rPr>
            </w:pPr>
          </w:p>
        </w:tc>
      </w:tr>
      <w:tr>
        <w:trPr>
          <w:trHeight w:val="270"/>
        </w:trPr>
        <w:tc>
          <w:tcPr>
            <w:tcW w:w="3840" w:type="dxa"/>
            <w:vAlign w:val="bottom"/>
          </w:tcPr>
          <w:p>
            <w:pPr>
              <w:ind w:left="240"/>
              <w:spacing w:after="0"/>
              <w:rPr>
                <w:sz w:val="20"/>
                <w:szCs w:val="20"/>
                <w:color w:val="auto"/>
              </w:rPr>
            </w:pPr>
            <w:r>
              <w:rPr>
                <w:rFonts w:ascii="Arial" w:cs="Arial" w:eastAsia="Arial" w:hAnsi="Arial"/>
                <w:sz w:val="14"/>
                <w:szCs w:val="14"/>
                <w:color w:val="auto"/>
              </w:rPr>
              <w:t>Change in accounting estimate</w:t>
            </w:r>
          </w:p>
        </w:tc>
        <w:tc>
          <w:tcPr>
            <w:tcW w:w="160" w:type="dxa"/>
            <w:vAlign w:val="bottom"/>
          </w:tcPr>
          <w:p>
            <w:pPr>
              <w:spacing w:after="0"/>
              <w:rPr>
                <w:sz w:val="23"/>
                <w:szCs w:val="23"/>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11.8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21.9</w:t>
            </w:r>
          </w:p>
        </w:tc>
        <w:tc>
          <w:tcPr>
            <w:tcW w:w="0" w:type="dxa"/>
            <w:vAlign w:val="bottom"/>
          </w:tcPr>
          <w:p>
            <w:pPr>
              <w:spacing w:after="0"/>
              <w:rPr>
                <w:sz w:val="1"/>
                <w:szCs w:val="1"/>
                <w:color w:val="auto"/>
              </w:rPr>
            </w:pPr>
          </w:p>
        </w:tc>
      </w:tr>
      <w:tr>
        <w:trPr>
          <w:trHeight w:val="169"/>
        </w:trPr>
        <w:tc>
          <w:tcPr>
            <w:tcW w:w="3840" w:type="dxa"/>
            <w:vAlign w:val="bottom"/>
          </w:tcPr>
          <w:p>
            <w:pPr>
              <w:ind w:left="240"/>
              <w:spacing w:after="0"/>
              <w:rPr>
                <w:sz w:val="20"/>
                <w:szCs w:val="20"/>
                <w:color w:val="auto"/>
              </w:rPr>
            </w:pPr>
            <w:r>
              <w:rPr>
                <w:rFonts w:ascii="Arial" w:cs="Arial" w:eastAsia="Arial" w:hAnsi="Arial"/>
                <w:sz w:val="14"/>
                <w:szCs w:val="14"/>
                <w:color w:val="auto"/>
                <w:w w:val="99"/>
              </w:rPr>
              <w:t>Purchase price accounting adjustments - non-amortization</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840" w:type="dxa"/>
            <w:vAlign w:val="bottom"/>
          </w:tcPr>
          <w:p>
            <w:pPr>
              <w:ind w:left="240"/>
              <w:spacing w:after="0"/>
              <w:rPr>
                <w:sz w:val="20"/>
                <w:szCs w:val="20"/>
                <w:color w:val="auto"/>
              </w:rPr>
            </w:pPr>
            <w:r>
              <w:rPr>
                <w:rFonts w:ascii="Arial" w:cs="Arial" w:eastAsia="Arial" w:hAnsi="Arial"/>
                <w:sz w:val="14"/>
                <w:szCs w:val="14"/>
                <w:color w:val="auto"/>
              </w:rPr>
              <w:t>related</w:t>
            </w:r>
          </w:p>
        </w:tc>
        <w:tc>
          <w:tcPr>
            <w:tcW w:w="160" w:type="dxa"/>
            <w:vAlign w:val="bottom"/>
          </w:tcPr>
          <w:p>
            <w:pPr>
              <w:spacing w:after="0"/>
              <w:rPr>
                <w:sz w:val="15"/>
                <w:szCs w:val="15"/>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55.3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42.3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78.5</w:t>
            </w:r>
          </w:p>
        </w:tc>
        <w:tc>
          <w:tcPr>
            <w:tcW w:w="0" w:type="dxa"/>
            <w:vAlign w:val="bottom"/>
          </w:tcPr>
          <w:p>
            <w:pPr>
              <w:spacing w:after="0"/>
              <w:rPr>
                <w:sz w:val="1"/>
                <w:szCs w:val="1"/>
                <w:color w:val="auto"/>
              </w:rPr>
            </w:pPr>
          </w:p>
        </w:tc>
      </w:tr>
      <w:tr>
        <w:trPr>
          <w:trHeight w:val="276"/>
        </w:trPr>
        <w:tc>
          <w:tcPr>
            <w:tcW w:w="3840" w:type="dxa"/>
            <w:vAlign w:val="bottom"/>
          </w:tcPr>
          <w:p>
            <w:pPr>
              <w:ind w:left="240"/>
              <w:spacing w:after="0"/>
              <w:rPr>
                <w:sz w:val="20"/>
                <w:szCs w:val="20"/>
                <w:color w:val="auto"/>
              </w:rPr>
            </w:pPr>
            <w:r>
              <w:rPr>
                <w:rFonts w:ascii="Arial" w:cs="Arial" w:eastAsia="Arial" w:hAnsi="Arial"/>
                <w:sz w:val="14"/>
                <w:szCs w:val="14"/>
                <w:color w:val="auto"/>
                <w:w w:val="94"/>
              </w:rPr>
              <w:t>Purchase price accounting adjustments - amortization related</w:t>
            </w:r>
          </w:p>
        </w:tc>
        <w:tc>
          <w:tcPr>
            <w:tcW w:w="160" w:type="dxa"/>
            <w:vAlign w:val="bottom"/>
          </w:tcPr>
          <w:p>
            <w:pPr>
              <w:spacing w:after="0"/>
              <w:rPr>
                <w:sz w:val="24"/>
                <w:szCs w:val="24"/>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104.7</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115.3</w:t>
            </w:r>
          </w:p>
        </w:tc>
        <w:tc>
          <w:tcPr>
            <w:tcW w:w="0" w:type="dxa"/>
            <w:vAlign w:val="bottom"/>
          </w:tcPr>
          <w:p>
            <w:pPr>
              <w:spacing w:after="0"/>
              <w:rPr>
                <w:sz w:val="1"/>
                <w:szCs w:val="1"/>
                <w:color w:val="auto"/>
              </w:rPr>
            </w:pPr>
          </w:p>
        </w:tc>
      </w:tr>
      <w:tr>
        <w:trPr>
          <w:trHeight w:val="244"/>
        </w:trPr>
        <w:tc>
          <w:tcPr>
            <w:tcW w:w="3840" w:type="dxa"/>
            <w:vAlign w:val="bottom"/>
          </w:tcPr>
          <w:p>
            <w:pPr>
              <w:ind w:left="460"/>
              <w:spacing w:after="0"/>
              <w:rPr>
                <w:sz w:val="20"/>
                <w:szCs w:val="20"/>
                <w:color w:val="auto"/>
              </w:rPr>
            </w:pPr>
            <w:r>
              <w:rPr>
                <w:rFonts w:ascii="Arial" w:cs="Arial" w:eastAsia="Arial" w:hAnsi="Arial"/>
                <w:sz w:val="14"/>
                <w:szCs w:val="14"/>
                <w:color w:val="auto"/>
              </w:rPr>
              <w:t>Subtotal</w:t>
            </w:r>
          </w:p>
        </w:tc>
        <w:tc>
          <w:tcPr>
            <w:tcW w:w="16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207.3</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75.9</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75.6</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359.7</w:t>
            </w:r>
          </w:p>
        </w:tc>
        <w:tc>
          <w:tcPr>
            <w:tcW w:w="0" w:type="dxa"/>
            <w:vAlign w:val="bottom"/>
          </w:tcPr>
          <w:p>
            <w:pPr>
              <w:spacing w:after="0"/>
              <w:rPr>
                <w:sz w:val="1"/>
                <w:szCs w:val="1"/>
                <w:color w:val="auto"/>
              </w:rPr>
            </w:pPr>
          </w:p>
        </w:tc>
      </w:tr>
      <w:tr>
        <w:trPr>
          <w:trHeight w:val="228"/>
        </w:trPr>
        <w:tc>
          <w:tcPr>
            <w:tcW w:w="38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840" w:type="dxa"/>
            <w:vAlign w:val="bottom"/>
          </w:tcPr>
          <w:p>
            <w:pPr>
              <w:spacing w:after="0"/>
              <w:rPr>
                <w:sz w:val="20"/>
                <w:szCs w:val="20"/>
                <w:color w:val="auto"/>
              </w:rPr>
            </w:pPr>
            <w:r>
              <w:rPr>
                <w:rFonts w:ascii="Arial" w:cs="Arial" w:eastAsia="Arial" w:hAnsi="Arial"/>
                <w:sz w:val="14"/>
                <w:szCs w:val="14"/>
                <w:color w:val="auto"/>
              </w:rPr>
              <w:t>Adjusted Operating profit</w:t>
            </w: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600.4</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554.6</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105.3</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(148.7)</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1,111.6</w:t>
            </w:r>
          </w:p>
        </w:tc>
        <w:tc>
          <w:tcPr>
            <w:tcW w:w="0" w:type="dxa"/>
            <w:vAlign w:val="bottom"/>
          </w:tcPr>
          <w:p>
            <w:pPr>
              <w:spacing w:after="0"/>
              <w:rPr>
                <w:sz w:val="1"/>
                <w:szCs w:val="1"/>
                <w:color w:val="auto"/>
              </w:rPr>
            </w:pPr>
          </w:p>
        </w:tc>
      </w:tr>
      <w:tr>
        <w:trPr>
          <w:trHeight w:val="474"/>
        </w:trPr>
        <w:tc>
          <w:tcPr>
            <w:tcW w:w="3840" w:type="dxa"/>
            <w:vAlign w:val="bottom"/>
          </w:tcPr>
          <w:p>
            <w:pPr>
              <w:spacing w:after="0"/>
              <w:rPr>
                <w:sz w:val="20"/>
                <w:szCs w:val="20"/>
                <w:color w:val="auto"/>
              </w:rPr>
            </w:pPr>
            <w:r>
              <w:rPr>
                <w:rFonts w:ascii="Arial" w:cs="Arial" w:eastAsia="Arial" w:hAnsi="Arial"/>
                <w:sz w:val="14"/>
                <w:szCs w:val="14"/>
                <w:color w:val="auto"/>
              </w:rPr>
              <w:t>Adjusted Depreciation and amortization</w:t>
            </w:r>
          </w:p>
        </w:tc>
        <w:tc>
          <w:tcPr>
            <w:tcW w:w="160" w:type="dxa"/>
            <w:vAlign w:val="bottom"/>
          </w:tcPr>
          <w:p>
            <w:pPr>
              <w:spacing w:after="0"/>
              <w:rPr>
                <w:sz w:val="24"/>
                <w:szCs w:val="24"/>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275.3</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208"/>
              <w:spacing w:after="0"/>
              <w:rPr>
                <w:sz w:val="20"/>
                <w:szCs w:val="20"/>
                <w:color w:val="auto"/>
              </w:rPr>
            </w:pPr>
            <w:r>
              <w:rPr>
                <w:rFonts w:ascii="Arial" w:cs="Arial" w:eastAsia="Arial" w:hAnsi="Arial"/>
                <w:sz w:val="14"/>
                <w:szCs w:val="14"/>
                <w:color w:val="auto"/>
              </w:rPr>
              <w:t>29.9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37.8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346.4</w:t>
            </w:r>
          </w:p>
        </w:tc>
        <w:tc>
          <w:tcPr>
            <w:tcW w:w="0" w:type="dxa"/>
            <w:vAlign w:val="bottom"/>
          </w:tcPr>
          <w:p>
            <w:pPr>
              <w:spacing w:after="0"/>
              <w:rPr>
                <w:sz w:val="1"/>
                <w:szCs w:val="1"/>
                <w:color w:val="auto"/>
              </w:rPr>
            </w:pPr>
          </w:p>
        </w:tc>
      </w:tr>
      <w:tr>
        <w:trPr>
          <w:trHeight w:val="228"/>
        </w:trPr>
        <w:tc>
          <w:tcPr>
            <w:tcW w:w="38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40" w:type="dxa"/>
            <w:vAlign w:val="bottom"/>
          </w:tcPr>
          <w:p>
            <w:pPr>
              <w:spacing w:after="0"/>
              <w:rPr>
                <w:sz w:val="20"/>
                <w:szCs w:val="20"/>
                <w:color w:val="auto"/>
              </w:rPr>
            </w:pPr>
            <w:r>
              <w:rPr>
                <w:rFonts w:ascii="Arial" w:cs="Arial" w:eastAsia="Arial" w:hAnsi="Arial"/>
                <w:sz w:val="14"/>
                <w:szCs w:val="14"/>
                <w:color w:val="auto"/>
              </w:rPr>
              <w:t>Adjusted EBITDA</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875.7</w:t>
            </w:r>
          </w:p>
        </w:tc>
        <w:tc>
          <w:tcPr>
            <w:tcW w:w="120" w:type="dxa"/>
            <w:vAlign w:val="bottom"/>
          </w:tcPr>
          <w:p>
            <w:pPr>
              <w:spacing w:after="0"/>
              <w:rPr>
                <w:sz w:val="20"/>
                <w:szCs w:val="20"/>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584.5</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143.1</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(145.3)</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1,458.0</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5"/>
        </w:trPr>
        <w:tc>
          <w:tcPr>
            <w:tcW w:w="3840" w:type="dxa"/>
            <w:vAlign w:val="bottom"/>
          </w:tcPr>
          <w:p>
            <w:pPr>
              <w:spacing w:after="0"/>
              <w:rPr>
                <w:sz w:val="20"/>
                <w:szCs w:val="20"/>
                <w:color w:val="auto"/>
              </w:rPr>
            </w:pPr>
            <w:r>
              <w:rPr>
                <w:rFonts w:ascii="Arial" w:cs="Arial" w:eastAsia="Arial" w:hAnsi="Arial"/>
                <w:sz w:val="14"/>
                <w:szCs w:val="14"/>
                <w:color w:val="auto"/>
              </w:rPr>
              <w:t>Operating profit margin, as reported</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8.6%</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486"/>
        </w:trPr>
        <w:tc>
          <w:tcPr>
            <w:tcW w:w="3840" w:type="dxa"/>
            <w:vAlign w:val="bottom"/>
          </w:tcPr>
          <w:p>
            <w:pPr>
              <w:spacing w:after="0"/>
              <w:rPr>
                <w:sz w:val="20"/>
                <w:szCs w:val="20"/>
                <w:color w:val="auto"/>
              </w:rPr>
            </w:pPr>
            <w:r>
              <w:rPr>
                <w:rFonts w:ascii="Arial" w:cs="Arial" w:eastAsia="Arial" w:hAnsi="Arial"/>
                <w:sz w:val="14"/>
                <w:szCs w:val="14"/>
                <w:color w:val="auto"/>
              </w:rPr>
              <w:t>Adjusted Operating profit margin</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140"/>
          </w:cols>
          <w:pgMar w:left="1400" w:top="526" w:right="1359" w:bottom="0" w:gutter="0" w:footer="0" w:header="0"/>
        </w:sectPr>
      </w:pPr>
    </w:p>
    <w:p>
      <w:pPr>
        <w:spacing w:after="0" w:line="104" w:lineRule="exact"/>
        <w:rPr>
          <w:sz w:val="20"/>
          <w:szCs w:val="20"/>
          <w:color w:val="auto"/>
        </w:rPr>
      </w:pPr>
    </w:p>
    <w:p>
      <w:pPr>
        <w:spacing w:after="0"/>
        <w:tabs>
          <w:tab w:leader="none" w:pos="4340" w:val="left"/>
          <w:tab w:leader="none" w:pos="5560" w:val="left"/>
          <w:tab w:leader="none" w:pos="6680" w:val="left"/>
          <w:tab w:leader="none" w:pos="8720" w:val="left"/>
        </w:tabs>
        <w:rPr>
          <w:sz w:val="20"/>
          <w:szCs w:val="20"/>
          <w:color w:val="auto"/>
        </w:rPr>
      </w:pPr>
      <w:r>
        <w:rPr>
          <w:rFonts w:ascii="Arial" w:cs="Arial" w:eastAsia="Arial" w:hAnsi="Arial"/>
          <w:sz w:val="14"/>
          <w:szCs w:val="14"/>
          <w:color w:val="auto"/>
        </w:rPr>
        <w:t>Adjusted EBITDA margin</w:t>
      </w:r>
      <w:r>
        <w:rPr>
          <w:sz w:val="20"/>
          <w:szCs w:val="20"/>
          <w:color w:val="auto"/>
        </w:rPr>
        <w:tab/>
      </w:r>
      <w:r>
        <w:rPr>
          <w:rFonts w:ascii="Arial" w:cs="Arial" w:eastAsia="Arial" w:hAnsi="Arial"/>
          <w:sz w:val="14"/>
          <w:szCs w:val="14"/>
          <w:color w:val="auto"/>
        </w:rPr>
        <w:t>19.1%</w:t>
      </w:r>
      <w:r>
        <w:rPr>
          <w:sz w:val="20"/>
          <w:szCs w:val="20"/>
          <w:color w:val="auto"/>
        </w:rPr>
        <w:tab/>
      </w:r>
      <w:r>
        <w:rPr>
          <w:rFonts w:ascii="Arial" w:cs="Arial" w:eastAsia="Arial" w:hAnsi="Arial"/>
          <w:sz w:val="14"/>
          <w:szCs w:val="14"/>
          <w:color w:val="auto"/>
        </w:rPr>
        <w:t>9.9%</w:t>
      </w:r>
      <w:r>
        <w:rPr>
          <w:sz w:val="20"/>
          <w:szCs w:val="20"/>
          <w:color w:val="auto"/>
        </w:rPr>
        <w:tab/>
      </w:r>
      <w:r>
        <w:rPr>
          <w:rFonts w:ascii="Arial" w:cs="Arial" w:eastAsia="Arial" w:hAnsi="Arial"/>
          <w:sz w:val="14"/>
          <w:szCs w:val="14"/>
          <w:color w:val="auto"/>
        </w:rPr>
        <w:t>15.9%</w:t>
      </w:r>
      <w:r>
        <w:rPr>
          <w:sz w:val="20"/>
          <w:szCs w:val="20"/>
          <w:color w:val="auto"/>
        </w:rPr>
        <w:tab/>
      </w:r>
      <w:r>
        <w:rPr>
          <w:rFonts w:ascii="Arial" w:cs="Arial" w:eastAsia="Arial" w:hAnsi="Arial"/>
          <w:sz w:val="12"/>
          <w:szCs w:val="12"/>
          <w:color w:val="auto"/>
        </w:rPr>
        <w:t>12.8%</w:t>
      </w:r>
    </w:p>
    <w:p>
      <w:pPr>
        <w:sectPr>
          <w:pgSz w:w="11900" w:h="16838" w:orient="portrait"/>
          <w:cols w:equalWidth="0" w:num="1">
            <w:col w:w="9140"/>
          </w:cols>
          <w:pgMar w:left="1400" w:top="526" w:right="1359" w:bottom="0" w:gutter="0" w:footer="0" w:header="0"/>
          <w:type w:val="continuous"/>
        </w:sectPr>
      </w:pPr>
    </w:p>
    <w:bookmarkStart w:id="30" w:name="page31"/>
    <w:bookmarkEnd w:id="30"/>
    <w:p>
      <w:pPr>
        <w:spacing w:after="0"/>
        <w:tabs>
          <w:tab w:leader="none" w:pos="4340" w:val="left"/>
          <w:tab w:leader="none" w:pos="5560" w:val="left"/>
          <w:tab w:leader="none" w:pos="6680" w:val="left"/>
          <w:tab w:leader="none" w:pos="8720" w:val="left"/>
        </w:tabs>
        <w:rPr>
          <w:sz w:val="20"/>
          <w:szCs w:val="20"/>
          <w:color w:val="auto"/>
        </w:rPr>
      </w:pPr>
    </w:p>
    <w:p>
      <w:pPr>
        <w:sectPr>
          <w:pgSz w:w="11900" w:h="16838" w:orient="portrait"/>
          <w:cols w:equalWidth="1" w:num="1" w:space="0"/>
          <w:pgMar w:left="1440" w:top="1440" w:right="1440" w:bottom="875" w:gutter="0" w:footer="0" w:header="0"/>
        </w:sectPr>
      </w:pPr>
    </w:p>
    <w:bookmarkStart w:id="31" w:name="page32"/>
    <w:bookmarkEnd w:id="31"/>
    <w:p>
      <w:pPr>
        <w:jc w:val="center"/>
        <w:ind w:left="440" w:right="2560"/>
        <w:spacing w:after="0" w:line="266" w:lineRule="auto"/>
        <w:rPr>
          <w:sz w:val="20"/>
          <w:szCs w:val="20"/>
          <w:color w:val="auto"/>
        </w:rPr>
      </w:pPr>
      <w:r>
        <w:rPr>
          <w:rFonts w:ascii="Arial" w:cs="Arial" w:eastAsia="Arial" w:hAnsi="Arial"/>
          <w:sz w:val="18"/>
          <w:szCs w:val="18"/>
          <w:b w:val="1"/>
          <w:bCs w:val="1"/>
          <w:u w:val="single" w:color="auto"/>
          <w:color w:val="auto"/>
        </w:rPr>
        <w:t xml:space="preserve">TECHNIPFMC PLC AND CONSOLIDATED SUBSIDIARIES RECONCILIATION OF GAAP TO NON-GAAP FINANCIAL MEASURES </w:t>
      </w:r>
      <w:r>
        <w:rPr>
          <w:rFonts w:ascii="Arial" w:cs="Arial" w:eastAsia="Arial" w:hAnsi="Arial"/>
          <w:sz w:val="18"/>
          <w:szCs w:val="18"/>
          <w:b w:val="1"/>
          <w:bCs w:val="1"/>
          <w:color w:val="auto"/>
        </w:rPr>
        <w:t>(In millions, unaudited)</w:t>
      </w:r>
    </w:p>
    <w:p>
      <w:pPr>
        <w:spacing w:after="0" w:line="33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6500" w:type="dxa"/>
            <w:vAlign w:val="bottom"/>
          </w:tcPr>
          <w:p>
            <w:pPr>
              <w:spacing w:after="0"/>
              <w:rPr>
                <w:sz w:val="18"/>
                <w:szCs w:val="18"/>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b w:val="1"/>
                <w:bCs w:val="1"/>
                <w:color w:val="auto"/>
              </w:rPr>
              <w:t>September 30,</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5"/>
              </w:rPr>
              <w:t>December 31,</w:t>
            </w:r>
          </w:p>
        </w:tc>
      </w:tr>
      <w:tr>
        <w:trPr>
          <w:trHeight w:val="234"/>
        </w:trPr>
        <w:tc>
          <w:tcPr>
            <w:tcW w:w="6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r>
      <w:tr>
        <w:trPr>
          <w:trHeight w:val="27"/>
        </w:trPr>
        <w:tc>
          <w:tcPr>
            <w:tcW w:w="65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520"/>
        </w:trPr>
        <w:tc>
          <w:tcPr>
            <w:tcW w:w="65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5,553.3</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6,737.4</w:t>
            </w:r>
          </w:p>
        </w:tc>
      </w:tr>
      <w:tr>
        <w:trPr>
          <w:trHeight w:val="270"/>
        </w:trPr>
        <w:tc>
          <w:tcPr>
            <w:tcW w:w="6500" w:type="dxa"/>
            <w:vAlign w:val="bottom"/>
          </w:tcPr>
          <w:p>
            <w:pPr>
              <w:spacing w:after="0"/>
              <w:rPr>
                <w:sz w:val="20"/>
                <w:szCs w:val="20"/>
                <w:color w:val="auto"/>
              </w:rPr>
            </w:pPr>
            <w:r>
              <w:rPr>
                <w:rFonts w:ascii="Arial" w:cs="Arial" w:eastAsia="Arial" w:hAnsi="Arial"/>
                <w:sz w:val="18"/>
                <w:szCs w:val="18"/>
                <w:color w:val="auto"/>
              </w:rPr>
              <w:t>Short-term debt and current portion of long-term debt</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(77.1)</w:t>
            </w:r>
          </w:p>
        </w:tc>
      </w:tr>
      <w:tr>
        <w:trPr>
          <w:trHeight w:val="270"/>
        </w:trPr>
        <w:tc>
          <w:tcPr>
            <w:tcW w:w="650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(4,017.1)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(3,777.9)</w:t>
            </w:r>
          </w:p>
        </w:tc>
      </w:tr>
      <w:tr>
        <w:trPr>
          <w:trHeight w:val="27"/>
        </w:trPr>
        <w:tc>
          <w:tcPr>
            <w:tcW w:w="65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6500" w:type="dxa"/>
            <w:vAlign w:val="bottom"/>
          </w:tcPr>
          <w:p>
            <w:pPr>
              <w:spacing w:after="0"/>
              <w:rPr>
                <w:sz w:val="20"/>
                <w:szCs w:val="20"/>
                <w:color w:val="auto"/>
              </w:rPr>
            </w:pPr>
            <w:r>
              <w:rPr>
                <w:rFonts w:ascii="Arial" w:cs="Arial" w:eastAsia="Arial" w:hAnsi="Arial"/>
                <w:sz w:val="18"/>
                <w:szCs w:val="18"/>
                <w:color w:val="auto"/>
              </w:rPr>
              <w:t>Net cash</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1,457.8</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2,882.4</w:t>
            </w:r>
          </w:p>
        </w:tc>
      </w:tr>
      <w:tr>
        <w:trPr>
          <w:trHeight w:val="20"/>
        </w:trPr>
        <w:tc>
          <w:tcPr>
            <w:tcW w:w="6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Net cash (debt) is a non-GAAP financial measure reflecting cash and cash equivalents, net of debt. Management uses this non-GAAP financial measure to evaluate TechnipFMC's capital structure and financial leverage. Management believes net cash (debt) is a meaningful financial measure that may also assist investors in understanding TechnipFMC's financial condition and underlying trends in its capital structure.</w:t>
      </w:r>
    </w:p>
    <w:sectPr>
      <w:pgSz w:w="11900" w:h="16838" w:orient="portrait"/>
      <w:cols w:equalWidth="0" w:num="1">
        <w:col w:w="11220"/>
      </w:cols>
      <w:pgMar w:left="240" w:top="52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lvl w:ilvl="1">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1"/>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1)"/>
      <w:numFmt w:val="decimal"/>
      <w:start w:val="1"/>
    </w:lvl>
  </w:abstractNum>
  <w:abstractNum w:abstractNumId="17">
    <w:nsid w:val="7C83E458"/>
    <w:multiLevelType w:val="hybridMultilevel"/>
    <w:lvl w:ilvl="0">
      <w:lvlJc w:val="left"/>
      <w:lvlText w:val="•"/>
      <w:numFmt w:val="bullet"/>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2019-12-28T19:06:45Z</dcterms:created>
  <dcterms:modified xsi:type="dcterms:W3CDTF">2019-12-28T19:06:45Z</dcterms:modified>
</cp:coreProperties>
</file>