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23,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John Reynolds</w:t>
      </w:r>
    </w:p>
    <w:p>
      <w:pPr>
        <w:spacing w:after="0" w:line="234" w:lineRule="exact"/>
        <w:rPr>
          <w:sz w:val="24"/>
          <w:szCs w:val="24"/>
          <w:color w:val="auto"/>
        </w:rPr>
      </w:pPr>
    </w:p>
    <w:p>
      <w:pPr>
        <w:ind w:left="880"/>
        <w:spacing w:after="0"/>
        <w:tabs>
          <w:tab w:leader="none" w:pos="1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TechnipFMC plc</w:t>
      </w:r>
    </w:p>
    <w:p>
      <w:pPr>
        <w:spacing w:after="0" w:line="27"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Registration Statement on Form S-4, as amended</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SEC File No. 333-224117</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80" w:firstLine="441"/>
        <w:spacing w:after="0" w:line="264" w:lineRule="auto"/>
        <w:rPr>
          <w:sz w:val="20"/>
          <w:szCs w:val="20"/>
          <w:color w:val="auto"/>
        </w:rPr>
      </w:pPr>
      <w:r>
        <w:rPr>
          <w:rFonts w:ascii="Arial" w:cs="Arial" w:eastAsia="Arial" w:hAnsi="Arial"/>
          <w:sz w:val="18"/>
          <w:szCs w:val="18"/>
          <w:color w:val="auto"/>
        </w:rPr>
        <w:t>Pursuant to Rule 461 under the Securities Act of 1933, as amended, the undersigned, on behalf of TechnipFMC plc (the “Company”), respectfully requests that the effective date of the Registration Statement on Form S-4 referenced above be accelerated so that it will become effective at 4:00 pm, Eastern Time, on April 24, 2018, or as soon as practicable thereafter.</w:t>
      </w:r>
    </w:p>
    <w:p>
      <w:pPr>
        <w:spacing w:after="0" w:line="181" w:lineRule="exact"/>
        <w:rPr>
          <w:sz w:val="24"/>
          <w:szCs w:val="24"/>
          <w:color w:val="auto"/>
        </w:rPr>
      </w:pPr>
    </w:p>
    <w:p>
      <w:pPr>
        <w:ind w:right="380" w:firstLine="441"/>
        <w:spacing w:after="0" w:line="277" w:lineRule="auto"/>
        <w:rPr>
          <w:sz w:val="20"/>
          <w:szCs w:val="20"/>
          <w:color w:val="auto"/>
        </w:rPr>
      </w:pPr>
      <w:r>
        <w:rPr>
          <w:rFonts w:ascii="Arial" w:cs="Arial" w:eastAsia="Arial" w:hAnsi="Arial"/>
          <w:sz w:val="18"/>
          <w:szCs w:val="18"/>
          <w:color w:val="auto"/>
        </w:rPr>
        <w:t>There are no underwriters in connection with the registration and, therefore, no request for acceleration or consent by an underwriter has been filed herewith.</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undersigned, on behalf of the Company, acknowledges the following:</w:t>
      </w:r>
    </w:p>
    <w:p>
      <w:pPr>
        <w:spacing w:after="0" w:line="131" w:lineRule="exact"/>
        <w:rPr>
          <w:sz w:val="24"/>
          <w:szCs w:val="24"/>
          <w:color w:val="auto"/>
        </w:rPr>
      </w:pPr>
    </w:p>
    <w:p>
      <w:pPr>
        <w:ind w:left="1420" w:right="200" w:hanging="430"/>
        <w:spacing w:after="0" w:line="264"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U.S. Securities and Exchange Commission (the “Commission”) or its staff (the “Staff”), acting pursuant to delegated authority, declare the Registration Statement effective, it does not foreclose the Commission from taking any action with respect to the Registration Statement;</w:t>
      </w:r>
    </w:p>
    <w:p>
      <w:pPr>
        <w:spacing w:after="0" w:line="86" w:lineRule="exact"/>
        <w:rPr>
          <w:rFonts w:ascii="Arial" w:cs="Arial" w:eastAsia="Arial" w:hAnsi="Arial"/>
          <w:sz w:val="18"/>
          <w:szCs w:val="18"/>
          <w:color w:val="auto"/>
        </w:rPr>
      </w:pPr>
    </w:p>
    <w:p>
      <w:pPr>
        <w:ind w:left="1420" w:right="240" w:hanging="430"/>
        <w:spacing w:after="0" w:line="264"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86" w:lineRule="exact"/>
        <w:rPr>
          <w:rFonts w:ascii="Arial" w:cs="Arial" w:eastAsia="Arial" w:hAnsi="Arial"/>
          <w:sz w:val="18"/>
          <w:szCs w:val="18"/>
          <w:color w:val="auto"/>
        </w:rPr>
      </w:pPr>
    </w:p>
    <w:p>
      <w:pPr>
        <w:ind w:left="1420" w:right="420" w:hanging="430"/>
        <w:spacing w:after="0" w:line="277"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The Company hereby authorizes Ryan Maierson of Latham &amp; Watkins LLP to orally modify or withdraw this request for acceleration. If you have any questions regarding the foregoing, please contact Mr. Maierson at (713) 546-5400 or by e-mail (</w:t>
      </w:r>
      <w:r>
        <w:rPr>
          <w:rFonts w:ascii="Arial" w:cs="Arial" w:eastAsia="Arial" w:hAnsi="Arial"/>
          <w:sz w:val="18"/>
          <w:szCs w:val="18"/>
          <w:u w:val="single" w:color="auto"/>
          <w:color w:val="auto"/>
        </w:rPr>
        <w:t>ryan.maierson@lw.com</w:t>
      </w:r>
      <w:r>
        <w:rPr>
          <w:rFonts w:ascii="Arial" w:cs="Arial" w:eastAsia="Arial" w:hAnsi="Arial"/>
          <w:sz w:val="18"/>
          <w:szCs w:val="18"/>
          <w:color w:val="auto"/>
        </w:rPr>
        <w:t>). Thank you in advance for your assistance.</w:t>
      </w:r>
    </w:p>
    <w:p>
      <w:pPr>
        <w:spacing w:after="0" w:line="330"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TechnipFMC plc</w:t>
      </w:r>
    </w:p>
    <w:p>
      <w:pPr>
        <w:spacing w:after="0" w:line="239" w:lineRule="exact"/>
        <w:rPr>
          <w:sz w:val="24"/>
          <w:szCs w:val="24"/>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Maryann T. Mannen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Maryann T. Mannen</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5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Officer</w:t>
            </w:r>
          </w:p>
        </w:tc>
      </w:tr>
    </w:tbl>
    <w:p>
      <w:pPr>
        <w:spacing w:after="0" w:line="229" w:lineRule="exact"/>
        <w:rPr>
          <w:sz w:val="24"/>
          <w:szCs w:val="24"/>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Ryan Maierson, Esq., Latham &amp; Watkins LLP</w:t>
      </w:r>
    </w:p>
    <w:sectPr>
      <w:pgSz w:w="11900" w:h="16838" w:orient="portrait"/>
      <w:cols w:equalWidth="0" w:num="1">
        <w:col w:w="11040"/>
      </w:cols>
      <w:pgMar w:left="440" w:top="23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2019-12-08T15:20:54Z</dcterms:created>
  <dcterms:modified xsi:type="dcterms:W3CDTF">2019-12-08T15:20:54Z</dcterms:modified>
</cp:coreProperties>
</file>