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14, 2016</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TechnipFMC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333-213067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8" w:lineRule="exact"/>
        <w:rPr>
          <w:sz w:val="24"/>
          <w:szCs w:val="24"/>
          <w:color w:val="auto"/>
        </w:rPr>
      </w:pPr>
    </w:p>
    <w:p>
      <w:pPr>
        <w:sectPr>
          <w:pgSz w:w="11900" w:h="16838" w:orient="portrait"/>
          <w:cols w:equalWidth="0" w:num="3">
            <w:col w:w="4680" w:space="720"/>
            <w:col w:w="3320" w:space="720"/>
            <w:col w:w="186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 Legalinx Limited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 Fetter Lane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London, EC4A 1BR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+44 800 975 8080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December 14, 2016, FMC Technologies, Inc., a Delaware corporation (“FMCTI”), Technip S.A.,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(“Technip”), and TechnipFMC Limited (formerly FMC Technologies SIS Limited), a private limited company incorporated under the laws of England and Wales and a wholly owned subsidiary of FMCTI (“Topco”), entered into Amendment No. 1 (the “Amendment”) to the Business Combination Agreement (the “BCA”), dated as of June 14, 2016, by and among FMCTI, Technip and Topco. The Amendment provides for certain technical changes to the BCA, including certain closing mechanics and the Joinder (as defined below).</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FMCTI, Technip and Topco also entered into a Joinder Agreement (the “Joinder”) with TechnipFMC US Merger Sub LLC, a Delaware limited liability company (“Merger Sub”), TechnipFMC Holdings Limited, a private limited company incorporated under the laws of England and Wales (“UK Holdco”), and TechnipFMC US Holdings LLC, a Delaware limited liability company (“US Holdco”), whereby UK Holdco, US Holdco and Merger Sub became a party to the BCA with the same force and effect as if originally named therein.</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Also on December 14, 2016, FMCTI and Topco delivered a letter (the “Waiver Letter”) to Technip waiving certain conditions of the BCA. Although certain conditions of the BCA have been waived by the parties, Topco and Technip will seek an order of the High Court of Justice of England and Wales that is conditional on the satisfaction of certain of those waived conditions (to the extent not already satisfied) relating to the listing of the Topco shares on the NYSE and Euronext Paris and the approval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of the listing prospectus.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above descriptions are summaries that are qualified by the full text of the Amendment, the Joinder and the Waiver Letter. Copies of these documents are attached as exhibits and incorporated herein by reference.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80" w:type="dxa"/>
            <w:vAlign w:val="bottom"/>
            <w:gridSpan w:val="2"/>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80" w:type="dxa"/>
            <w:vAlign w:val="bottom"/>
            <w:gridSpan w:val="2"/>
          </w:tcPr>
          <w:p>
            <w:pPr>
              <w:ind w:left="820"/>
              <w:spacing w:after="0"/>
              <w:rPr>
                <w:sz w:val="20"/>
                <w:szCs w:val="20"/>
                <w:color w:val="auto"/>
              </w:rPr>
            </w:pPr>
            <w:r>
              <w:rPr>
                <w:rFonts w:ascii="Arial" w:cs="Arial" w:eastAsia="Arial" w:hAnsi="Arial"/>
                <w:sz w:val="18"/>
                <w:szCs w:val="18"/>
                <w:b w:val="1"/>
                <w:bCs w:val="1"/>
                <w:color w:val="auto"/>
              </w:rPr>
              <w:t>Description of Exhibit</w:t>
            </w:r>
          </w:p>
        </w:tc>
      </w:tr>
      <w:tr>
        <w:trPr>
          <w:trHeight w:val="296"/>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Amendment No. 1, dated as of December 14, 2016, to that certain Business Combination Agreement, dated as of June 14, 2016, by</w:t>
            </w:r>
          </w:p>
        </w:tc>
      </w:tr>
      <w:tr>
        <w:trPr>
          <w:trHeight w:val="230"/>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80" w:type="dxa"/>
            <w:vAlign w:val="bottom"/>
            <w:gridSpan w:val="2"/>
          </w:tcPr>
          <w:p>
            <w:pPr>
              <w:ind w:left="820"/>
              <w:spacing w:after="0"/>
              <w:rPr>
                <w:sz w:val="20"/>
                <w:szCs w:val="20"/>
                <w:color w:val="auto"/>
              </w:rPr>
            </w:pPr>
            <w:r>
              <w:rPr>
                <w:rFonts w:ascii="Arial" w:cs="Arial" w:eastAsia="Arial" w:hAnsi="Arial"/>
                <w:sz w:val="18"/>
                <w:szCs w:val="18"/>
                <w:color w:val="auto"/>
              </w:rPr>
              <w:t>and among FMC Technologies, Inc., TechnipFMC Limited and Technip S.A.</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0280" w:type="dxa"/>
            <w:vAlign w:val="bottom"/>
            <w:gridSpan w:val="2"/>
          </w:tcPr>
          <w:p>
            <w:pPr>
              <w:ind w:left="820"/>
              <w:spacing w:after="0"/>
              <w:rPr>
                <w:sz w:val="20"/>
                <w:szCs w:val="20"/>
                <w:color w:val="auto"/>
              </w:rPr>
            </w:pPr>
            <w:r>
              <w:rPr>
                <w:rFonts w:ascii="Arial" w:cs="Arial" w:eastAsia="Arial" w:hAnsi="Arial"/>
                <w:sz w:val="18"/>
                <w:szCs w:val="18"/>
                <w:color w:val="auto"/>
                <w:w w:val="91"/>
              </w:rPr>
              <w:t>Joinder Agreement, dated as of December 14, 2016, by and among FMC Technologies, Inc., TechnipFMC Limited, Technip S.A.,</w:t>
            </w:r>
          </w:p>
        </w:tc>
      </w:tr>
      <w:tr>
        <w:trPr>
          <w:trHeight w:val="230"/>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80" w:type="dxa"/>
            <w:vAlign w:val="bottom"/>
            <w:gridSpan w:val="2"/>
          </w:tcPr>
          <w:p>
            <w:pPr>
              <w:ind w:left="820"/>
              <w:spacing w:after="0"/>
              <w:rPr>
                <w:sz w:val="20"/>
                <w:szCs w:val="20"/>
                <w:color w:val="auto"/>
              </w:rPr>
            </w:pPr>
            <w:r>
              <w:rPr>
                <w:rFonts w:ascii="Arial" w:cs="Arial" w:eastAsia="Arial" w:hAnsi="Arial"/>
                <w:sz w:val="18"/>
                <w:szCs w:val="18"/>
                <w:color w:val="auto"/>
              </w:rPr>
              <w:t>TechnipFMC Holdings Limited, TechnipFMC US Holdings LLC and TechnipFMC US Merger Sub LLC</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10280" w:type="dxa"/>
            <w:vAlign w:val="bottom"/>
            <w:gridSpan w:val="2"/>
          </w:tcPr>
          <w:p>
            <w:pPr>
              <w:ind w:left="820"/>
              <w:spacing w:after="0"/>
              <w:rPr>
                <w:sz w:val="20"/>
                <w:szCs w:val="20"/>
                <w:color w:val="auto"/>
              </w:rPr>
            </w:pPr>
            <w:r>
              <w:rPr>
                <w:rFonts w:ascii="Arial" w:cs="Arial" w:eastAsia="Arial" w:hAnsi="Arial"/>
                <w:sz w:val="18"/>
                <w:szCs w:val="18"/>
                <w:color w:val="auto"/>
                <w:w w:val="99"/>
              </w:rPr>
              <w:t>Waiver Letter, dated as of December 14, 2016, from FMC Technologies, Inc. and TechnipFMC Limited to Technip S.A.</w:t>
            </w:r>
          </w:p>
        </w:tc>
      </w:tr>
      <w:tr>
        <w:trPr>
          <w:trHeight w:val="540"/>
        </w:trPr>
        <w:tc>
          <w:tcPr>
            <w:tcW w:w="88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TECHNIPFMC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5240"/>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Tore Halvorsen</w:t>
            </w: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Dated: December 14, 2016</w:t>
            </w:r>
          </w:p>
        </w:tc>
        <w:tc>
          <w:tcPr>
            <w:tcW w:w="5600" w:type="dxa"/>
            <w:vAlign w:val="bottom"/>
          </w:tcPr>
          <w:p>
            <w:pPr>
              <w:spacing w:after="0"/>
              <w:rPr>
                <w:sz w:val="20"/>
                <w:szCs w:val="20"/>
                <w:color w:val="auto"/>
              </w:rPr>
            </w:pPr>
            <w:r>
              <w:rPr>
                <w:rFonts w:ascii="Arial" w:cs="Arial" w:eastAsia="Arial" w:hAnsi="Arial"/>
                <w:sz w:val="18"/>
                <w:szCs w:val="18"/>
                <w:color w:val="auto"/>
              </w:rPr>
              <w:t>Name:  Tore Halvorsen</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Title:   Director</w:t>
            </w: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2"/>
          </w:tcPr>
          <w:p>
            <w:pPr>
              <w:ind w:left="540"/>
              <w:spacing w:after="0"/>
              <w:rPr>
                <w:sz w:val="20"/>
                <w:szCs w:val="20"/>
                <w:color w:val="auto"/>
              </w:rPr>
            </w:pPr>
            <w:r>
              <w:rPr>
                <w:rFonts w:ascii="Arial" w:cs="Arial" w:eastAsia="Arial" w:hAnsi="Arial"/>
                <w:sz w:val="18"/>
                <w:szCs w:val="18"/>
                <w:b w:val="1"/>
                <w:bCs w:val="1"/>
                <w:color w:val="auto"/>
              </w:rPr>
              <w:t>Description of Exhibit</w:t>
            </w:r>
          </w:p>
        </w:tc>
      </w:tr>
      <w:tr>
        <w:trPr>
          <w:trHeight w:val="296"/>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Amendment No. 1, dated as of December 14, 2016, to that certain Business Combination Agreement, dated as of June 14, 2016, by</w:t>
            </w:r>
          </w:p>
        </w:tc>
      </w:tr>
      <w:tr>
        <w:trPr>
          <w:trHeight w:val="230"/>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0" w:type="dxa"/>
            <w:vAlign w:val="bottom"/>
            <w:gridSpan w:val="2"/>
          </w:tcPr>
          <w:p>
            <w:pPr>
              <w:ind w:left="540"/>
              <w:spacing w:after="0"/>
              <w:rPr>
                <w:sz w:val="20"/>
                <w:szCs w:val="20"/>
                <w:color w:val="auto"/>
              </w:rPr>
            </w:pPr>
            <w:r>
              <w:rPr>
                <w:rFonts w:ascii="Arial" w:cs="Arial" w:eastAsia="Arial" w:hAnsi="Arial"/>
                <w:sz w:val="18"/>
                <w:szCs w:val="18"/>
                <w:color w:val="auto"/>
              </w:rPr>
              <w:t>and among FMC Technologies, Inc., TechnipFMC Limited and Technip S.A.</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24"/>
                <w:szCs w:val="24"/>
                <w:color w:val="auto"/>
              </w:rPr>
            </w:pPr>
          </w:p>
        </w:tc>
        <w:tc>
          <w:tcPr>
            <w:tcW w:w="10000" w:type="dxa"/>
            <w:vAlign w:val="bottom"/>
            <w:gridSpan w:val="2"/>
          </w:tcPr>
          <w:p>
            <w:pPr>
              <w:ind w:left="540"/>
              <w:spacing w:after="0"/>
              <w:rPr>
                <w:sz w:val="20"/>
                <w:szCs w:val="20"/>
                <w:color w:val="auto"/>
              </w:rPr>
            </w:pPr>
            <w:r>
              <w:rPr>
                <w:rFonts w:ascii="Arial" w:cs="Arial" w:eastAsia="Arial" w:hAnsi="Arial"/>
                <w:sz w:val="18"/>
                <w:szCs w:val="18"/>
                <w:color w:val="auto"/>
                <w:w w:val="91"/>
              </w:rPr>
              <w:t>Joinder Agreement, dated as of December 14, 2016, by and among FMC Technologies, Inc., TechnipFMC Limited, Technip S.A.,</w:t>
            </w:r>
          </w:p>
        </w:tc>
      </w:tr>
      <w:tr>
        <w:trPr>
          <w:trHeight w:val="230"/>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0" w:type="dxa"/>
            <w:vAlign w:val="bottom"/>
            <w:gridSpan w:val="2"/>
          </w:tcPr>
          <w:p>
            <w:pPr>
              <w:ind w:left="540"/>
              <w:spacing w:after="0"/>
              <w:rPr>
                <w:sz w:val="20"/>
                <w:szCs w:val="20"/>
                <w:color w:val="auto"/>
              </w:rPr>
            </w:pPr>
            <w:r>
              <w:rPr>
                <w:rFonts w:ascii="Arial" w:cs="Arial" w:eastAsia="Arial" w:hAnsi="Arial"/>
                <w:sz w:val="18"/>
                <w:szCs w:val="18"/>
                <w:color w:val="auto"/>
              </w:rPr>
              <w:t>TechnipFMC Holdings Limited, TechnipFMC US Holdings LLC and TechnipFMC US Merger Sub LLC</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10000" w:type="dxa"/>
            <w:vAlign w:val="bottom"/>
            <w:gridSpan w:val="2"/>
          </w:tcPr>
          <w:p>
            <w:pPr>
              <w:ind w:left="540"/>
              <w:spacing w:after="0"/>
              <w:rPr>
                <w:sz w:val="20"/>
                <w:szCs w:val="20"/>
                <w:color w:val="auto"/>
              </w:rPr>
            </w:pPr>
            <w:r>
              <w:rPr>
                <w:rFonts w:ascii="Arial" w:cs="Arial" w:eastAsia="Arial" w:hAnsi="Arial"/>
                <w:sz w:val="18"/>
                <w:szCs w:val="18"/>
                <w:color w:val="auto"/>
                <w:w w:val="99"/>
              </w:rPr>
              <w:t>Waiver Letter, dated as of December 14, 2016, from FMC Technologies, Inc. and TechnipFMC Limited to Technip S.A.</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December 14, 2016 to that certain Business Combination Agreement (the “</w:t>
      </w:r>
      <w:r>
        <w:rPr>
          <w:rFonts w:ascii="Arial" w:cs="Arial" w:eastAsia="Arial" w:hAnsi="Arial"/>
          <w:sz w:val="18"/>
          <w:szCs w:val="18"/>
          <w:u w:val="single" w:color="auto"/>
          <w:color w:val="auto"/>
        </w:rPr>
        <w:t>BCA</w:t>
      </w:r>
      <w:r>
        <w:rPr>
          <w:rFonts w:ascii="Arial" w:cs="Arial" w:eastAsia="Arial" w:hAnsi="Arial"/>
          <w:sz w:val="18"/>
          <w:szCs w:val="18"/>
          <w:color w:val="auto"/>
        </w:rPr>
        <w:t>”), dated as of June 14, 2016, is by and among FMC Technologies, Inc., a Delaware corporation (“</w:t>
      </w:r>
      <w:r>
        <w:rPr>
          <w:rFonts w:ascii="Arial" w:cs="Arial" w:eastAsia="Arial" w:hAnsi="Arial"/>
          <w:sz w:val="18"/>
          <w:szCs w:val="18"/>
          <w:u w:val="single" w:color="auto"/>
          <w:color w:val="auto"/>
        </w:rPr>
        <w:t>FMCTI</w:t>
      </w:r>
      <w:r>
        <w:rPr>
          <w:rFonts w:ascii="Arial" w:cs="Arial" w:eastAsia="Arial" w:hAnsi="Arial"/>
          <w:sz w:val="18"/>
          <w:szCs w:val="18"/>
          <w:color w:val="auto"/>
        </w:rPr>
        <w:t>”), TechnipFMC Limited, a private limited company incorporated under the laws of England and Wales and a wholly owned subsidiary of FMCTI (“</w:t>
      </w:r>
      <w:r>
        <w:rPr>
          <w:rFonts w:ascii="Arial" w:cs="Arial" w:eastAsia="Arial" w:hAnsi="Arial"/>
          <w:sz w:val="18"/>
          <w:szCs w:val="18"/>
          <w:u w:val="single" w:color="auto"/>
          <w:color w:val="auto"/>
        </w:rPr>
        <w:t>Topco</w:t>
      </w:r>
      <w:r>
        <w:rPr>
          <w:rFonts w:ascii="Arial" w:cs="Arial" w:eastAsia="Arial" w:hAnsi="Arial"/>
          <w:sz w:val="18"/>
          <w:szCs w:val="18"/>
          <w:color w:val="auto"/>
        </w:rPr>
        <w:t xml:space="preserve">”), and Technip S.A.,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w:t>
      </w:r>
      <w:r>
        <w:rPr>
          <w:rFonts w:ascii="Arial" w:cs="Arial" w:eastAsia="Arial" w:hAnsi="Arial"/>
          <w:sz w:val="18"/>
          <w:szCs w:val="18"/>
          <w:u w:val="single" w:color="auto"/>
          <w:color w:val="auto"/>
        </w:rPr>
        <w:t>Technip</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Topco changed its name from FMC Technologies SIS Limited to TechnipFMC Limited on August 4, 2016;</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pursuant to a Joinder Agreement by and among FMCTI, Topco, TechnipFMC Holdings Limited, a private limited company under the laws of England and Wales (“</w:t>
      </w:r>
      <w:r>
        <w:rPr>
          <w:rFonts w:ascii="Arial" w:cs="Arial" w:eastAsia="Arial" w:hAnsi="Arial"/>
          <w:sz w:val="18"/>
          <w:szCs w:val="18"/>
          <w:u w:val="single" w:color="auto"/>
          <w:color w:val="auto"/>
        </w:rPr>
        <w:t>UK Holdco</w:t>
      </w:r>
      <w:r>
        <w:rPr>
          <w:rFonts w:ascii="Arial" w:cs="Arial" w:eastAsia="Arial" w:hAnsi="Arial"/>
          <w:sz w:val="18"/>
          <w:szCs w:val="18"/>
          <w:color w:val="auto"/>
        </w:rPr>
        <w:t>”), TechnipFMC US Holdings LLC, a Delaware limited liability company (“</w:t>
      </w:r>
      <w:r>
        <w:rPr>
          <w:rFonts w:ascii="Arial" w:cs="Arial" w:eastAsia="Arial" w:hAnsi="Arial"/>
          <w:sz w:val="18"/>
          <w:szCs w:val="18"/>
          <w:u w:val="single" w:color="auto"/>
          <w:color w:val="auto"/>
        </w:rPr>
        <w:t>US Holdco</w:t>
      </w:r>
      <w:r>
        <w:rPr>
          <w:rFonts w:ascii="Arial" w:cs="Arial" w:eastAsia="Arial" w:hAnsi="Arial"/>
          <w:sz w:val="18"/>
          <w:szCs w:val="18"/>
          <w:color w:val="auto"/>
        </w:rPr>
        <w:t>”), and TechnipFMC US Merger Sub LLC, a Delaware limited liability company (“</w:t>
      </w:r>
      <w:r>
        <w:rPr>
          <w:rFonts w:ascii="Arial" w:cs="Arial" w:eastAsia="Arial" w:hAnsi="Arial"/>
          <w:sz w:val="18"/>
          <w:szCs w:val="18"/>
          <w:u w:val="single" w:color="auto"/>
          <w:color w:val="auto"/>
        </w:rPr>
        <w:t>Merger Sub</w:t>
      </w:r>
      <w:r>
        <w:rPr>
          <w:rFonts w:ascii="Arial" w:cs="Arial" w:eastAsia="Arial" w:hAnsi="Arial"/>
          <w:sz w:val="18"/>
          <w:szCs w:val="18"/>
          <w:color w:val="auto"/>
        </w:rPr>
        <w:t>”), UK Holdco, US Holdco and Merger Sub will become a party to the BCA with the same force and effect as if originally named therein; and</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Section 8.2 of the BCA provides for the amendment of the BCA in accordance with the terms set forth therein and the parties hereto desire to amend the BCA as set forth below.</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NOW, THEREFORE, in consideration of the premises, and of the representations, warranties, covenants and agreements contained herein,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 References</w:t>
      </w:r>
      <w:r>
        <w:rPr>
          <w:rFonts w:ascii="Arial" w:cs="Arial" w:eastAsia="Arial" w:hAnsi="Arial"/>
          <w:sz w:val="18"/>
          <w:szCs w:val="18"/>
          <w:color w:val="auto"/>
        </w:rPr>
        <w:t>. Unless otherwise specifically defined herein, each term used herein shall have the meaning assigned to such term in the BCA. Each reference to “hereof,” “herein” and “hereunder” and words of similar import when used in the BCA shall, from and after the date of this Amendment, refer to the BCA, as amended by this Amendment.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 TO BUSINESS COMBINATION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Amendment to Section 1.2(b)</w:t>
      </w:r>
      <w:r>
        <w:rPr>
          <w:rFonts w:ascii="Arial" w:cs="Arial" w:eastAsia="Arial" w:hAnsi="Arial"/>
          <w:sz w:val="17"/>
          <w:szCs w:val="17"/>
          <w:color w:val="auto"/>
        </w:rPr>
        <w:t>. The ninth sentence of Section 1.2(b) of the BCA is hereby deleted and replaced with the following:</w:t>
      </w:r>
    </w:p>
    <w:p>
      <w:pPr>
        <w:spacing w:after="0" w:line="237"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Subject to applicable Law, as of the FMCTI Effective Time, the managers of U.S. Merger Sub immediately prior to the FMCTI Effective Time shall be the directors of the FMCTI Merger Surviving Corporation, each to hold office in accordance with the certificate of incorporation and bylaws of the FMCTI Merger Surviving Corporation.</w:t>
      </w:r>
    </w:p>
    <w:p>
      <w:pPr>
        <w:sectPr>
          <w:pgSz w:w="11900" w:h="16838" w:orient="portrait"/>
          <w:cols w:equalWidth="0" w:num="1">
            <w:col w:w="11420"/>
          </w:cols>
          <w:pgMar w:left="240" w:top="121"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2.2. </w:t>
      </w:r>
      <w:r>
        <w:rPr>
          <w:rFonts w:ascii="Arial" w:cs="Arial" w:eastAsia="Arial" w:hAnsi="Arial"/>
          <w:sz w:val="16"/>
          <w:szCs w:val="16"/>
          <w:u w:val="single" w:color="auto"/>
          <w:color w:val="auto"/>
        </w:rPr>
        <w:t>Amendment to Section 1.3</w:t>
      </w:r>
      <w:r>
        <w:rPr>
          <w:rFonts w:ascii="Arial" w:cs="Arial" w:eastAsia="Arial" w:hAnsi="Arial"/>
          <w:sz w:val="16"/>
          <w:szCs w:val="16"/>
          <w:color w:val="auto"/>
        </w:rPr>
        <w:t>. The first sentence of Section 1.3 of the BCA is hereby amended to remove the words “that is on a Sunday.”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Amendment to Section 1.6(a)(iii)</w:t>
      </w:r>
      <w:r>
        <w:rPr>
          <w:rFonts w:ascii="Arial" w:cs="Arial" w:eastAsia="Arial" w:hAnsi="Arial"/>
          <w:sz w:val="18"/>
          <w:szCs w:val="18"/>
          <w:color w:val="auto"/>
        </w:rPr>
        <w:t>. Section 1.16(a)(iii) of the BCA is hereby amended and restated as follows:</w:t>
      </w:r>
    </w:p>
    <w:p>
      <w:pPr>
        <w:spacing w:after="0" w:line="225" w:lineRule="exact"/>
        <w:rPr>
          <w:sz w:val="20"/>
          <w:szCs w:val="20"/>
          <w:color w:val="auto"/>
        </w:rPr>
      </w:pPr>
    </w:p>
    <w:p>
      <w:pPr>
        <w:ind w:left="460" w:right="40" w:firstLine="4"/>
        <w:spacing w:after="0" w:line="259" w:lineRule="auto"/>
        <w:tabs>
          <w:tab w:leader="none" w:pos="77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Conversion of U.S. Merger Sub Membership Interests</w:t>
      </w:r>
      <w:r>
        <w:rPr>
          <w:rFonts w:ascii="Arial" w:cs="Arial" w:eastAsia="Arial" w:hAnsi="Arial"/>
          <w:sz w:val="18"/>
          <w:szCs w:val="18"/>
          <w:color w:val="auto"/>
        </w:rPr>
        <w:t>. As of the FMCTI Effective Time, all of the membership interests of U.S. Merger Sub held</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prior to the FMCTI Effective Time shall automatically be converted into the right to receive one hundred fully paid and non-assessable shares of common stock, par value $0.01, of the FMCTI Merger Surviving Corporation, which shares at such time shall comprise the only outstanding shares of capital stock of the FMCTI Merger Surviving Corporation.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Amendments to Section 5.16</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77"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only sentence of Section 5.16(b) of the BCA is hereby amended to remove the words “sole stockholder” and replace them with the words “sole member.”</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BCA is hereby amended to add a new Section 5.16(c) and (d) as follows:</w:t>
      </w:r>
    </w:p>
    <w:p>
      <w:pPr>
        <w:spacing w:after="0" w:line="225" w:lineRule="exact"/>
        <w:rPr>
          <w:sz w:val="20"/>
          <w:szCs w:val="20"/>
          <w:color w:val="auto"/>
        </w:rPr>
      </w:pPr>
    </w:p>
    <w:p>
      <w:pPr>
        <w:ind w:left="460" w:right="20" w:firstLine="4"/>
        <w:spacing w:after="0" w:line="279" w:lineRule="auto"/>
        <w:tabs>
          <w:tab w:leader="none" w:pos="70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UK HoldCo</w:t>
      </w:r>
      <w:r>
        <w:rPr>
          <w:rFonts w:ascii="Arial" w:cs="Arial" w:eastAsia="Arial" w:hAnsi="Arial"/>
          <w:sz w:val="17"/>
          <w:szCs w:val="17"/>
          <w:color w:val="auto"/>
        </w:rPr>
        <w:t>. In furtherance, and not in limitation, of Section 5.16(a), (i) FMCTI shall, and shall cause its applicable Subsidiaries to, cause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TechnipFMC Holdings Limited, a private limited company under the laws of England and Wales, to become a party to this Agreement as if an original party hereto by executing a joinder to this Agreement, substantially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and (ii) TechnipFMC Holdings Limited shall, at the time and in the manner specified in the Preliminary Transactions, issue shares to Topco.</w:t>
      </w:r>
    </w:p>
    <w:p>
      <w:pPr>
        <w:spacing w:after="0" w:line="171" w:lineRule="exact"/>
        <w:rPr>
          <w:rFonts w:ascii="Arial" w:cs="Arial" w:eastAsia="Arial" w:hAnsi="Arial"/>
          <w:sz w:val="17"/>
          <w:szCs w:val="17"/>
          <w:color w:val="auto"/>
        </w:rPr>
      </w:pPr>
    </w:p>
    <w:p>
      <w:pPr>
        <w:ind w:left="460" w:right="40" w:firstLine="4"/>
        <w:spacing w:after="0" w:line="302" w:lineRule="auto"/>
        <w:tabs>
          <w:tab w:leader="none" w:pos="71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US HoldCo</w:t>
      </w:r>
      <w:r>
        <w:rPr>
          <w:rFonts w:ascii="Arial" w:cs="Arial" w:eastAsia="Arial" w:hAnsi="Arial"/>
          <w:sz w:val="16"/>
          <w:szCs w:val="16"/>
          <w:color w:val="auto"/>
        </w:rPr>
        <w:t>. In furtherance, and not in limitation, of Section 5.16(a), (i) FMCTI shall, and shall cause its applicable Subsidiaries to, cause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TechnipFMC US Holdings LLC, a Delaware limited liability company, to become a party to this Agreement as if an original party hereto by executing a joinder to this Agreement,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(ii) TechnipFMC US Holdings LLC shall, at the time and in the manner specified in the Preliminary Transactions, convert to a corporation and subsequently issue shares to TechnipFMC Holdings Limited.</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Amendment to Exhibit C</w:t>
      </w:r>
      <w:r>
        <w:rPr>
          <w:rFonts w:ascii="Arial" w:cs="Arial" w:eastAsia="Arial" w:hAnsi="Arial"/>
          <w:sz w:val="18"/>
          <w:szCs w:val="18"/>
          <w:color w:val="auto"/>
        </w:rPr>
        <w:t>. The form of joinder attached to the BCA as Exhibit C is hereby amended and restated to be as substantially set forth on Annex I hereto.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 Further Amendment</w:t>
      </w:r>
      <w:r>
        <w:rPr>
          <w:rFonts w:ascii="Arial" w:cs="Arial" w:eastAsia="Arial" w:hAnsi="Arial"/>
          <w:sz w:val="18"/>
          <w:szCs w:val="18"/>
          <w:color w:val="auto"/>
        </w:rPr>
        <w:t>. Except as expressly amended hereby, the BCA is in all respects ratified and confirmed and all the terms, conditions, and provisions thereof shall remain in full force and effect.</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This Amendment shall form a part of the BCA for all purposes, and each party thereto and hereto shall be bound hereby. From and after the execution of this Amendment by the parties hereto, any reference to the BCA shall be deemed a reference to the BCA as amended hereby. This Amendment shall be deemed to be in full force and effect from and after the execution of this Amendment by the parties hereto.</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7" w:name="page8"/>
    <w:bookmarkEnd w:id="7"/>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has been duly executed and delivered by the duly authorized representatives of the parties hereto as of the date first written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FMC TECHNOLOGIES,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Dianne Ralston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Dianne Ralston</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Secretary</w:t>
            </w:r>
          </w:p>
        </w:tc>
      </w:tr>
      <w:tr>
        <w:trPr>
          <w:trHeight w:val="45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TECHNIPFMC LIMITED</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Peder M. Brøndmo</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Peder M. Brøndmo</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Alternate Director</w:t>
            </w:r>
          </w:p>
        </w:tc>
      </w:tr>
      <w:tr>
        <w:trPr>
          <w:trHeight w:val="45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TECHNIP S.A.</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Freeman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John Freeman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Group General Counsel</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 the Business Combination Agreement]</w:t>
      </w:r>
    </w:p>
    <w:p>
      <w:pPr>
        <w:sectPr>
          <w:pgSz w:w="11900" w:h="16838" w:orient="portrait"/>
          <w:cols w:equalWidth="0" w:num="1">
            <w:col w:w="11420"/>
          </w:cols>
          <w:pgMar w:left="240" w:top="274"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Joinder Agreement</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5"/>
          <w:szCs w:val="25"/>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JOINDER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Joinder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December 14, 2016, is by and among FMC Technologies, Inc., a Delaware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FMCTI</w:t>
      </w:r>
      <w:r>
        <w:rPr>
          <w:rFonts w:ascii="Arial" w:cs="Arial" w:eastAsia="Arial" w:hAnsi="Arial"/>
          <w:sz w:val="17"/>
          <w:szCs w:val="17"/>
          <w:color w:val="auto"/>
        </w:rPr>
        <w:t>”), TechnipFMC Limited (formerly known as FMC Technologies SIS Limited), a private limited company incorporated under the laws of England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and Wales and a wholly owned subsidiary of FMCTI (“</w:t>
      </w:r>
      <w:r>
        <w:rPr>
          <w:rFonts w:ascii="Arial" w:cs="Arial" w:eastAsia="Arial" w:hAnsi="Arial"/>
          <w:sz w:val="17"/>
          <w:szCs w:val="17"/>
          <w:u w:val="single" w:color="auto"/>
          <w:color w:val="auto"/>
        </w:rPr>
        <w:t>Topco</w:t>
      </w:r>
      <w:r>
        <w:rPr>
          <w:rFonts w:ascii="Arial" w:cs="Arial" w:eastAsia="Arial" w:hAnsi="Arial"/>
          <w:sz w:val="17"/>
          <w:szCs w:val="17"/>
          <w:color w:val="auto"/>
        </w:rPr>
        <w:t xml:space="preserve">”), Technip, S.A., a French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w:t>
      </w:r>
      <w:r>
        <w:rPr>
          <w:rFonts w:ascii="Arial" w:cs="Arial" w:eastAsia="Arial" w:hAnsi="Arial"/>
          <w:sz w:val="17"/>
          <w:szCs w:val="17"/>
          <w:u w:val="single" w:color="auto"/>
          <w:color w:val="auto"/>
        </w:rPr>
        <w:t>Technip</w:t>
      </w:r>
      <w:r>
        <w:rPr>
          <w:rFonts w:ascii="Arial" w:cs="Arial" w:eastAsia="Arial" w:hAnsi="Arial"/>
          <w:sz w:val="17"/>
          <w:szCs w:val="17"/>
          <w:color w:val="auto"/>
        </w:rPr>
        <w:t>”), TechnipFMC Holdings Limited,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private limited company under the laws of England and Wales (“</w:t>
      </w:r>
      <w:r>
        <w:rPr>
          <w:rFonts w:ascii="Arial" w:cs="Arial" w:eastAsia="Arial" w:hAnsi="Arial"/>
          <w:sz w:val="17"/>
          <w:szCs w:val="17"/>
          <w:u w:val="single" w:color="auto"/>
          <w:color w:val="auto"/>
        </w:rPr>
        <w:t>UK Holdco</w:t>
      </w:r>
      <w:r>
        <w:rPr>
          <w:rFonts w:ascii="Arial" w:cs="Arial" w:eastAsia="Arial" w:hAnsi="Arial"/>
          <w:sz w:val="17"/>
          <w:szCs w:val="17"/>
          <w:color w:val="auto"/>
        </w:rPr>
        <w:t>”), TechnipFMC US Holdings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Holdco</w:t>
      </w:r>
      <w:r>
        <w:rPr>
          <w:rFonts w:ascii="Arial" w:cs="Arial" w:eastAsia="Arial" w:hAnsi="Arial"/>
          <w:sz w:val="17"/>
          <w:szCs w:val="17"/>
          <w:color w:val="auto"/>
        </w:rPr>
        <w:t>”) and TechnipFMC US Merger Sub LLC, a Delaware Limited Liability Company (“</w:t>
      </w:r>
      <w:r>
        <w:rPr>
          <w:rFonts w:ascii="Arial" w:cs="Arial" w:eastAsia="Arial" w:hAnsi="Arial"/>
          <w:sz w:val="17"/>
          <w:szCs w:val="17"/>
          <w:u w:val="single" w:color="auto"/>
          <w:color w:val="auto"/>
        </w:rPr>
        <w:t>Merger Sub</w:t>
      </w:r>
      <w:r>
        <w:rPr>
          <w:rFonts w:ascii="Arial" w:cs="Arial" w:eastAsia="Arial" w:hAnsi="Arial"/>
          <w:sz w:val="17"/>
          <w:szCs w:val="17"/>
          <w:color w:val="auto"/>
        </w:rPr>
        <w:t>”). Capitalized terms used but not defined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herein shall have the meanings ascribed to such terms in the Business Combination Agreement, dated as of June, 14, 2016, by and among FMCTI, Topco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Technip (the “</w:t>
      </w:r>
      <w:r>
        <w:rPr>
          <w:rFonts w:ascii="Arial" w:cs="Arial" w:eastAsia="Arial" w:hAnsi="Arial"/>
          <w:sz w:val="18"/>
          <w:szCs w:val="18"/>
          <w:u w:val="single" w:color="auto"/>
          <w:color w:val="auto"/>
        </w:rPr>
        <w:t>BCA</w:t>
      </w:r>
      <w:r>
        <w:rPr>
          <w:rFonts w:ascii="Arial" w:cs="Arial" w:eastAsia="Arial" w:hAnsi="Arial"/>
          <w:sz w:val="18"/>
          <w:szCs w:val="18"/>
          <w:color w:val="auto"/>
        </w:rPr>
        <w:t>”).</w:t>
      </w:r>
    </w:p>
    <w:p>
      <w:pPr>
        <w:spacing w:after="0" w:line="21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WHEREAS, Merger Sub was formed under the laws of the State of Delaware on October 17, 2016 for the purpose of serving as U.S. Merger Sub pursuant to the BCA.</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WHEREAS, US Holdco was formed under the laws of the State of Delaware on October 17, 2016 for the purpose of effecting certain transactions pursuant to the BCA at the time and in the manner specified in the Preliminary Transactions.</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WHEREAS, UK Holdco was formed under the laws of England and Wales on October 19, 2016 for the purpose of effecting certain transactions pursuant to the BCA at the time and in the manner specified in the Preliminary Transactions.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WHEREAS, pursuant to the BCA and the Cross-Border Merger Terms and subject to the terms and conditions thereof, at the Technip Effective Time, Technip shall merge with and into Topco (the “</w:t>
      </w:r>
      <w:r>
        <w:rPr>
          <w:rFonts w:ascii="Arial" w:cs="Arial" w:eastAsia="Arial" w:hAnsi="Arial"/>
          <w:sz w:val="18"/>
          <w:szCs w:val="18"/>
          <w:u w:val="single" w:color="auto"/>
          <w:color w:val="auto"/>
        </w:rPr>
        <w:t>Technip Merger</w:t>
      </w:r>
      <w:r>
        <w:rPr>
          <w:rFonts w:ascii="Arial" w:cs="Arial" w:eastAsia="Arial" w:hAnsi="Arial"/>
          <w:sz w:val="18"/>
          <w:szCs w:val="18"/>
          <w:color w:val="auto"/>
        </w:rPr>
        <w:t>”), with Topco surviving the Technip Merger.</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pursuant to the BCA and subject to the terms and conditions thereof, at the FMCTI Effective Time, Merger Sub shall merge with and into FMCTI (the “</w:t>
      </w:r>
      <w:r>
        <w:rPr>
          <w:rFonts w:ascii="Arial" w:cs="Arial" w:eastAsia="Arial" w:hAnsi="Arial"/>
          <w:sz w:val="18"/>
          <w:szCs w:val="18"/>
          <w:u w:val="single" w:color="auto"/>
          <w:color w:val="auto"/>
        </w:rPr>
        <w:t>FMCTI Merger</w:t>
      </w:r>
      <w:r>
        <w:rPr>
          <w:rFonts w:ascii="Arial" w:cs="Arial" w:eastAsia="Arial" w:hAnsi="Arial"/>
          <w:sz w:val="18"/>
          <w:szCs w:val="18"/>
          <w:color w:val="auto"/>
        </w:rPr>
        <w:t>”), with FMCTI surviving the FMCTI Merger as a wholly owned subsidiary of Topco.</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NOW, THEREFORE, in consideration of the foregoing, and of the mutual covenants, representations, warranties and agreements contained in the BCA, the parties hereto agree as follows:</w:t>
      </w:r>
    </w:p>
    <w:p>
      <w:pPr>
        <w:spacing w:after="0" w:line="197" w:lineRule="exact"/>
        <w:rPr>
          <w:sz w:val="20"/>
          <w:szCs w:val="20"/>
          <w:color w:val="auto"/>
        </w:rPr>
      </w:pPr>
    </w:p>
    <w:p>
      <w:pPr>
        <w:ind w:left="900" w:right="60" w:hanging="446"/>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Joinder</w:t>
      </w:r>
      <w:r>
        <w:rPr>
          <w:rFonts w:ascii="Arial" w:cs="Arial" w:eastAsia="Arial" w:hAnsi="Arial"/>
          <w:sz w:val="17"/>
          <w:szCs w:val="17"/>
          <w:color w:val="auto"/>
        </w:rPr>
        <w:t>. By executing this Agreement, each of UK Holdco, US Holdco and Merger Sub hereby becomes a party to the BCA and hereby agrees to be bound by the terms, covenants and other provisions of the BCA applicable to it and hereby assumes all its rights and obligations thereunder, with the same force and effect as if originally named therein. This Agreement shall form a part of the BCA.</w:t>
      </w:r>
    </w:p>
    <w:p>
      <w:pPr>
        <w:spacing w:after="0" w:line="192" w:lineRule="exact"/>
        <w:rPr>
          <w:rFonts w:ascii="Arial" w:cs="Arial" w:eastAsia="Arial" w:hAnsi="Arial"/>
          <w:sz w:val="17"/>
          <w:szCs w:val="17"/>
          <w:color w:val="auto"/>
        </w:rPr>
      </w:pPr>
    </w:p>
    <w:p>
      <w:pPr>
        <w:ind w:left="900" w:right="40" w:hanging="446"/>
        <w:spacing w:after="0" w:line="30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The following provisions of the BCA shall apply hereto, </w:t>
      </w:r>
      <w:r>
        <w:rPr>
          <w:rFonts w:ascii="Arial" w:cs="Arial" w:eastAsia="Arial" w:hAnsi="Arial"/>
          <w:sz w:val="16"/>
          <w:szCs w:val="16"/>
          <w:i w:val="1"/>
          <w:iCs w:val="1"/>
          <w:color w:val="auto"/>
        </w:rPr>
        <w:t>mutatis mutandis</w:t>
      </w:r>
      <w:r>
        <w:rPr>
          <w:rFonts w:ascii="Arial" w:cs="Arial" w:eastAsia="Arial" w:hAnsi="Arial"/>
          <w:sz w:val="16"/>
          <w:szCs w:val="16"/>
          <w:color w:val="auto"/>
        </w:rPr>
        <w:t>: Sections 8.2 (Modification or Amendment), 8.4 (Counterparts), 8.5 (Governing Law; Dispute Resolution; Waiver of Trial by Jury), 8.7 (Notices) (with the notice provisions applicable to FMCTI applying equally to UK Holdco, US Holdco and Merger Sub), 8.8 (Entire Agreement), 8.9 (No Third-Party Beneficiaries), 8.10 (Obligations of FMCTI and Technip), 8.11 (Severability), 8.12 (Interpretation; Construction), 8.14 (Assignment) and 8.15 (Specific Performance).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65" w:right="239" w:bottom="1440" w:gutter="0" w:footer="0" w:header="0"/>
        </w:sectPr>
      </w:pPr>
    </w:p>
    <w:bookmarkStart w:id="10" w:name="page11"/>
    <w:bookmarkEnd w:id="10"/>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instrument to be executed in counterparts by their duly authorized officers, all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FMC TECHNOLOGIES,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Dianne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jc w:val="both"/>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 General Counsel and Corporate</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Secretary</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TECHNIPFMC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Peder M. Brøndmo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Alternate Director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TECHNIPFMC HOLDINGS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Peder M. Brøndmo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Alternate Director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the Joinder Agreement]</w:t>
      </w:r>
    </w:p>
    <w:p>
      <w:pPr>
        <w:sectPr>
          <w:pgSz w:w="11900" w:h="16838" w:orient="portrait"/>
          <w:cols w:equalWidth="0" w:num="1">
            <w:col w:w="11380"/>
          </w:cols>
          <w:pgMar w:left="240" w:top="274" w:right="279" w:bottom="1440" w:gutter="0" w:footer="0" w:header="0"/>
        </w:sectPr>
      </w:pPr>
    </w:p>
    <w:bookmarkStart w:id="11" w:name="page12"/>
    <w:bookmarkEnd w:id="1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TECHNIPFMC US HOLDINGS LLC</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FMC Technologies, Inc.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Dianne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-130810</wp:posOffset>
            </wp:positionV>
            <wp:extent cx="25558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Title:</w:t>
        <w:tab/>
        <w:t>Senior Vice President, General Counsel and Corporate</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Secretary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TECHNIPFMC US MERGER SUB LLC</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TECHNIPFMC US HOLDINGS LLC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FMC TECHNOLOGIES, INC., as the sole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member of TechnipFMC US Holdings LLC</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Dianne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-130810</wp:posOffset>
            </wp:positionV>
            <wp:extent cx="25558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Title:</w:t>
        <w:tab/>
        <w:t>Senior Vice President, General Counsel and Corporate</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180"/>
          </w:cols>
          <w:pgMar w:left="1440" w:top="274" w:right="279" w:bottom="1440" w:gutter="0" w:footer="0" w:header="0"/>
        </w:sectPr>
      </w:pPr>
    </w:p>
    <w:bookmarkStart w:id="12" w:name="page13"/>
    <w:bookmarkEnd w:id="1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TECHNIP, S.A.</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-130810</wp:posOffset>
            </wp:positionV>
            <wp:extent cx="2555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Joinder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December 14, 2016, is by and among FMC Technologies, Inc., a Delaware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FMCTI</w:t>
      </w:r>
      <w:r>
        <w:rPr>
          <w:rFonts w:ascii="Arial" w:cs="Arial" w:eastAsia="Arial" w:hAnsi="Arial"/>
          <w:sz w:val="17"/>
          <w:szCs w:val="17"/>
          <w:color w:val="auto"/>
        </w:rPr>
        <w:t>”), TechnipFMC Limited (formerly known as FMC Technologies SIS Limited), a private limited company incorporated under the laws of England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and Wales and a wholly owned subsidiary of FMCTI (“</w:t>
      </w:r>
      <w:r>
        <w:rPr>
          <w:rFonts w:ascii="Arial" w:cs="Arial" w:eastAsia="Arial" w:hAnsi="Arial"/>
          <w:sz w:val="17"/>
          <w:szCs w:val="17"/>
          <w:u w:val="single" w:color="auto"/>
          <w:color w:val="auto"/>
        </w:rPr>
        <w:t>Topco</w:t>
      </w:r>
      <w:r>
        <w:rPr>
          <w:rFonts w:ascii="Arial" w:cs="Arial" w:eastAsia="Arial" w:hAnsi="Arial"/>
          <w:sz w:val="17"/>
          <w:szCs w:val="17"/>
          <w:color w:val="auto"/>
        </w:rPr>
        <w:t xml:space="preserve">”), Technip, S.A., a French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w:t>
      </w:r>
      <w:r>
        <w:rPr>
          <w:rFonts w:ascii="Arial" w:cs="Arial" w:eastAsia="Arial" w:hAnsi="Arial"/>
          <w:sz w:val="17"/>
          <w:szCs w:val="17"/>
          <w:u w:val="single" w:color="auto"/>
          <w:color w:val="auto"/>
        </w:rPr>
        <w:t>Technip</w:t>
      </w:r>
      <w:r>
        <w:rPr>
          <w:rFonts w:ascii="Arial" w:cs="Arial" w:eastAsia="Arial" w:hAnsi="Arial"/>
          <w:sz w:val="17"/>
          <w:szCs w:val="17"/>
          <w:color w:val="auto"/>
        </w:rPr>
        <w:t>”), TechnipFMC Holdings Limited,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private limited company under the laws of England and Wales (“</w:t>
      </w:r>
      <w:r>
        <w:rPr>
          <w:rFonts w:ascii="Arial" w:cs="Arial" w:eastAsia="Arial" w:hAnsi="Arial"/>
          <w:sz w:val="17"/>
          <w:szCs w:val="17"/>
          <w:u w:val="single" w:color="auto"/>
          <w:color w:val="auto"/>
        </w:rPr>
        <w:t>UK Holdco</w:t>
      </w:r>
      <w:r>
        <w:rPr>
          <w:rFonts w:ascii="Arial" w:cs="Arial" w:eastAsia="Arial" w:hAnsi="Arial"/>
          <w:sz w:val="17"/>
          <w:szCs w:val="17"/>
          <w:color w:val="auto"/>
        </w:rPr>
        <w:t>”), TechnipFMC US Holdings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Holdco</w:t>
      </w:r>
      <w:r>
        <w:rPr>
          <w:rFonts w:ascii="Arial" w:cs="Arial" w:eastAsia="Arial" w:hAnsi="Arial"/>
          <w:sz w:val="17"/>
          <w:szCs w:val="17"/>
          <w:color w:val="auto"/>
        </w:rPr>
        <w:t>”) and TechnipFMC US Merger Sub LLC, a Delaware Limited Liability Company (“</w:t>
      </w:r>
      <w:r>
        <w:rPr>
          <w:rFonts w:ascii="Arial" w:cs="Arial" w:eastAsia="Arial" w:hAnsi="Arial"/>
          <w:sz w:val="17"/>
          <w:szCs w:val="17"/>
          <w:u w:val="single" w:color="auto"/>
          <w:color w:val="auto"/>
        </w:rPr>
        <w:t>Merger Sub</w:t>
      </w:r>
      <w:r>
        <w:rPr>
          <w:rFonts w:ascii="Arial" w:cs="Arial" w:eastAsia="Arial" w:hAnsi="Arial"/>
          <w:sz w:val="17"/>
          <w:szCs w:val="17"/>
          <w:color w:val="auto"/>
        </w:rPr>
        <w:t>”). Capitalized terms used but not defined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herein shall have the meanings ascribed to such terms in the Business Combination Agreement, dated as of June, 14, 2016, by and among FMCTI, Topco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Technip (the “</w:t>
      </w:r>
      <w:r>
        <w:rPr>
          <w:rFonts w:ascii="Arial" w:cs="Arial" w:eastAsia="Arial" w:hAnsi="Arial"/>
          <w:sz w:val="18"/>
          <w:szCs w:val="18"/>
          <w:u w:val="single" w:color="auto"/>
          <w:color w:val="auto"/>
        </w:rPr>
        <w:t>BCA</w:t>
      </w:r>
      <w:r>
        <w:rPr>
          <w:rFonts w:ascii="Arial" w:cs="Arial" w:eastAsia="Arial" w:hAnsi="Arial"/>
          <w:sz w:val="18"/>
          <w:szCs w:val="18"/>
          <w:color w:val="auto"/>
        </w:rPr>
        <w:t>”).</w:t>
      </w:r>
    </w:p>
    <w:p>
      <w:pPr>
        <w:spacing w:after="0" w:line="21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WHEREAS, Merger Sub was formed under the laws of the State of Delaware on October 17, 2016 for the purpose of serving as U.S. Merger Sub pursuant to the BCA.</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WHEREAS, US Holdco was formed under the laws of the State of Delaware on October 17, 2016 for the purpose of effecting certain transactions pursuant to the BCA at the time and in the manner specified in the Preliminary Transactions.</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WHEREAS, UK Holdco was formed under the laws of England and Wales on October 19, 2016 for the purpose of effecting certain transactions pursuant to the BCA at the time and in the manner specified in the Preliminary Transactions.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WHEREAS, pursuant to the BCA and the Cross-Border Merger Terms and subject to the terms and conditions thereof, at the Technip Effective Time, Technip shall merge with and into Topco (the “</w:t>
      </w:r>
      <w:r>
        <w:rPr>
          <w:rFonts w:ascii="Arial" w:cs="Arial" w:eastAsia="Arial" w:hAnsi="Arial"/>
          <w:sz w:val="18"/>
          <w:szCs w:val="18"/>
          <w:u w:val="single" w:color="auto"/>
          <w:color w:val="auto"/>
        </w:rPr>
        <w:t>Technip Merger</w:t>
      </w:r>
      <w:r>
        <w:rPr>
          <w:rFonts w:ascii="Arial" w:cs="Arial" w:eastAsia="Arial" w:hAnsi="Arial"/>
          <w:sz w:val="18"/>
          <w:szCs w:val="18"/>
          <w:color w:val="auto"/>
        </w:rPr>
        <w:t>”), with Topco surviving the Technip Merger.</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pursuant to the BCA and subject to the terms and conditions thereof, at the FMCTI Effective Time, Merger Sub shall merge with and into FMCTI (the “</w:t>
      </w:r>
      <w:r>
        <w:rPr>
          <w:rFonts w:ascii="Arial" w:cs="Arial" w:eastAsia="Arial" w:hAnsi="Arial"/>
          <w:sz w:val="18"/>
          <w:szCs w:val="18"/>
          <w:u w:val="single" w:color="auto"/>
          <w:color w:val="auto"/>
        </w:rPr>
        <w:t>FMCTI Merger</w:t>
      </w:r>
      <w:r>
        <w:rPr>
          <w:rFonts w:ascii="Arial" w:cs="Arial" w:eastAsia="Arial" w:hAnsi="Arial"/>
          <w:sz w:val="18"/>
          <w:szCs w:val="18"/>
          <w:color w:val="auto"/>
        </w:rPr>
        <w:t>”), with FMCTI surviving the FMCTI Merger as a wholly owned subsidiary of Topco.</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NOW, THEREFORE, in consideration of the foregoing, and of the mutual covenants, representations, warranties and agreements contained in the BCA, the parties hereto agree as follows:</w:t>
      </w:r>
    </w:p>
    <w:p>
      <w:pPr>
        <w:spacing w:after="0" w:line="197" w:lineRule="exact"/>
        <w:rPr>
          <w:sz w:val="20"/>
          <w:szCs w:val="20"/>
          <w:color w:val="auto"/>
        </w:rPr>
      </w:pPr>
    </w:p>
    <w:p>
      <w:pPr>
        <w:ind w:left="900" w:right="60" w:hanging="446"/>
        <w:spacing w:after="0" w:line="286"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Joinder</w:t>
      </w:r>
      <w:r>
        <w:rPr>
          <w:rFonts w:ascii="Arial" w:cs="Arial" w:eastAsia="Arial" w:hAnsi="Arial"/>
          <w:sz w:val="17"/>
          <w:szCs w:val="17"/>
          <w:color w:val="auto"/>
        </w:rPr>
        <w:t>. By executing this Agreement, each of UK Holdco, US Holdco and Merger Sub hereby becomes a party to the BCA and hereby agrees to be bound by the terms, covenants and other provisions of the BCA applicable to it and hereby assumes all its rights and obligations thereunder, with the same force and effect as if originally named therein. This Agreement shall form a part of the BCA.</w:t>
      </w:r>
    </w:p>
    <w:p>
      <w:pPr>
        <w:spacing w:after="0" w:line="192" w:lineRule="exact"/>
        <w:rPr>
          <w:rFonts w:ascii="Arial" w:cs="Arial" w:eastAsia="Arial" w:hAnsi="Arial"/>
          <w:sz w:val="17"/>
          <w:szCs w:val="17"/>
          <w:color w:val="auto"/>
        </w:rPr>
      </w:pPr>
    </w:p>
    <w:p>
      <w:pPr>
        <w:ind w:left="900" w:right="40" w:hanging="446"/>
        <w:spacing w:after="0" w:line="30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The following provisions of the BCA shall apply hereto, </w:t>
      </w:r>
      <w:r>
        <w:rPr>
          <w:rFonts w:ascii="Arial" w:cs="Arial" w:eastAsia="Arial" w:hAnsi="Arial"/>
          <w:sz w:val="16"/>
          <w:szCs w:val="16"/>
          <w:i w:val="1"/>
          <w:iCs w:val="1"/>
          <w:color w:val="auto"/>
        </w:rPr>
        <w:t>mutatis mutandis</w:t>
      </w:r>
      <w:r>
        <w:rPr>
          <w:rFonts w:ascii="Arial" w:cs="Arial" w:eastAsia="Arial" w:hAnsi="Arial"/>
          <w:sz w:val="16"/>
          <w:szCs w:val="16"/>
          <w:color w:val="auto"/>
        </w:rPr>
        <w:t>: Sections 8.2 (Modification or Amendment), 8.4 (Counterparts), 8.5 (Governing Law; Dispute Resolution; Waiver of Trial by Jury), 8.7 (Notices) (with the notice provisions applicable to FMCTI applying equally to UK Holdco, US Holdco and Merger Sub), 8.8 (Entire Agreement), 8.9 (No Third-Party Beneficiaries), 8.10 (Obligations of FMCTI and Technip), 8.11 (Severability), 8.12 (Interpretation; Construction), 8.14 (Assignment) and 8.15 (Specific Performance).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121" w:right="239" w:bottom="1440" w:gutter="0" w:footer="0" w:header="0"/>
        </w:sectPr>
      </w:pPr>
    </w:p>
    <w:bookmarkStart w:id="14" w:name="page15"/>
    <w:bookmarkEnd w:id="14"/>
    <w:p>
      <w:pPr>
        <w:ind w:right="1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instrument to be executed in counterparts by their duly authorized officers, all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FMC TECHNOLOGIES,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Dianne B. Ralston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Dianne Ralston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TECHNIPFMC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Peder M. Brøndmo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Peder M. Brøndmo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Alternate 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TECHNIPFMC HOLDINGS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Peder M. Brøndmo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Peder M. Brøndmo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Alternate Director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 Joinder Agreement]</w:t>
      </w:r>
    </w:p>
    <w:p>
      <w:pPr>
        <w:sectPr>
          <w:pgSz w:w="11900" w:h="16838" w:orient="portrait"/>
          <w:cols w:equalWidth="0" w:num="1">
            <w:col w:w="11420"/>
          </w:cols>
          <w:pgMar w:left="240" w:top="274" w:right="239" w:bottom="1440" w:gutter="0" w:footer="0" w:header="0"/>
        </w:sectPr>
      </w:pPr>
    </w:p>
    <w:bookmarkStart w:id="15" w:name="page16"/>
    <w:bookmarkEnd w:id="1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TECHNIPFMC US HOLDINGS LLC</w:t>
      </w:r>
    </w:p>
    <w:p>
      <w:pPr>
        <w:spacing w:after="0" w:line="225" w:lineRule="exact"/>
        <w:rPr>
          <w:sz w:val="20"/>
          <w:szCs w:val="20"/>
          <w:color w:val="auto"/>
        </w:rPr>
      </w:pPr>
    </w:p>
    <w:p>
      <w:pPr>
        <w:ind w:left="60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FMC Technologies, Inc.</w:t>
      </w:r>
    </w:p>
    <w:p>
      <w:pPr>
        <w:spacing w:after="0" w:line="23"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ind w:left="360"/>
              <w:spacing w:after="0"/>
              <w:rPr>
                <w:sz w:val="20"/>
                <w:szCs w:val="20"/>
                <w:color w:val="auto"/>
              </w:rPr>
            </w:pPr>
            <w:r>
              <w:rPr>
                <w:rFonts w:ascii="Arial" w:cs="Arial" w:eastAsia="Arial" w:hAnsi="Arial"/>
                <w:sz w:val="18"/>
                <w:szCs w:val="18"/>
                <w:color w:val="auto"/>
                <w:w w:val="83"/>
              </w:rPr>
              <w:t>Its:</w:t>
            </w:r>
          </w:p>
        </w:tc>
        <w:tc>
          <w:tcPr>
            <w:tcW w:w="3980" w:type="dxa"/>
            <w:vAlign w:val="bottom"/>
          </w:tcPr>
          <w:p>
            <w:pPr>
              <w:ind w:left="140"/>
              <w:spacing w:after="0"/>
              <w:rPr>
                <w:sz w:val="20"/>
                <w:szCs w:val="20"/>
                <w:color w:val="auto"/>
              </w:rPr>
            </w:pPr>
            <w:r>
              <w:rPr>
                <w:rFonts w:ascii="Arial" w:cs="Arial" w:eastAsia="Arial" w:hAnsi="Arial"/>
                <w:sz w:val="18"/>
                <w:szCs w:val="18"/>
                <w:color w:val="auto"/>
              </w:rPr>
              <w:t>Sole Member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Dianne B. Ralston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Dianne Ralston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TECHNIPFMC US MERGER SUB LLC</w:t>
      </w:r>
    </w:p>
    <w:p>
      <w:pPr>
        <w:spacing w:after="0" w:line="225" w:lineRule="exact"/>
        <w:rPr>
          <w:sz w:val="20"/>
          <w:szCs w:val="20"/>
          <w:color w:val="auto"/>
        </w:rPr>
      </w:pPr>
    </w:p>
    <w:p>
      <w:pPr>
        <w:jc w:val="right"/>
        <w:ind w:right="1040"/>
        <w:spacing w:after="0"/>
        <w:tabs>
          <w:tab w:leader="none" w:pos="3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TECHNIPFMC US HOLDINGS LLC</w:t>
      </w:r>
    </w:p>
    <w:p>
      <w:pPr>
        <w:spacing w:after="0" w:line="23"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ind w:left="360"/>
              <w:spacing w:after="0"/>
              <w:rPr>
                <w:sz w:val="20"/>
                <w:szCs w:val="20"/>
                <w:color w:val="auto"/>
              </w:rPr>
            </w:pPr>
            <w:r>
              <w:rPr>
                <w:rFonts w:ascii="Arial" w:cs="Arial" w:eastAsia="Arial" w:hAnsi="Arial"/>
                <w:sz w:val="18"/>
                <w:szCs w:val="18"/>
                <w:color w:val="auto"/>
                <w:w w:val="83"/>
              </w:rPr>
              <w:t>Its:</w:t>
            </w:r>
          </w:p>
        </w:tc>
        <w:tc>
          <w:tcPr>
            <w:tcW w:w="3980" w:type="dxa"/>
            <w:vAlign w:val="bottom"/>
          </w:tcPr>
          <w:p>
            <w:pPr>
              <w:ind w:left="140"/>
              <w:spacing w:after="0"/>
              <w:rPr>
                <w:sz w:val="20"/>
                <w:szCs w:val="20"/>
                <w:color w:val="auto"/>
              </w:rPr>
            </w:pPr>
            <w:r>
              <w:rPr>
                <w:rFonts w:ascii="Arial" w:cs="Arial" w:eastAsia="Arial" w:hAnsi="Arial"/>
                <w:sz w:val="18"/>
                <w:szCs w:val="18"/>
                <w:color w:val="auto"/>
              </w:rPr>
              <w:t>Sole Member</w:t>
            </w:r>
          </w:p>
        </w:tc>
      </w:tr>
      <w:tr>
        <w:trPr>
          <w:trHeight w:val="404"/>
        </w:trPr>
        <w:tc>
          <w:tcPr>
            <w:tcW w:w="4560" w:type="dxa"/>
            <w:vAlign w:val="bottom"/>
            <w:gridSpan w:val="2"/>
          </w:tcPr>
          <w:p>
            <w:pPr>
              <w:ind w:left="360"/>
              <w:spacing w:after="0"/>
              <w:rPr>
                <w:sz w:val="20"/>
                <w:szCs w:val="20"/>
                <w:color w:val="auto"/>
              </w:rPr>
            </w:pPr>
            <w:r>
              <w:rPr>
                <w:rFonts w:ascii="Arial" w:cs="Arial" w:eastAsia="Arial" w:hAnsi="Arial"/>
                <w:sz w:val="18"/>
                <w:szCs w:val="18"/>
                <w:color w:val="auto"/>
                <w:w w:val="95"/>
              </w:rPr>
              <w:t>By:  FMC TECHNOLOGIES, INC., as the sole member</w:t>
            </w:r>
          </w:p>
        </w:tc>
      </w:tr>
      <w:tr>
        <w:trPr>
          <w:trHeight w:val="230"/>
        </w:trPr>
        <w:tc>
          <w:tcPr>
            <w:tcW w:w="58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8"/>
                <w:szCs w:val="18"/>
                <w:color w:val="auto"/>
              </w:rPr>
              <w:t>of TechnipFMC US Holdings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Dianne B. Ralston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Dianne Ralston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1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[Signature Page to the Joinder Agreement]</w:t>
      </w:r>
    </w:p>
    <w:p>
      <w:pPr>
        <w:sectPr>
          <w:pgSz w:w="11900" w:h="16838" w:orient="portrait"/>
          <w:cols w:equalWidth="0" w:num="1">
            <w:col w:w="10220"/>
          </w:cols>
          <w:pgMar w:left="1440" w:top="274" w:right="239" w:bottom="1440" w:gutter="0" w:footer="0" w:header="0"/>
        </w:sectPr>
      </w:pPr>
    </w:p>
    <w:bookmarkStart w:id="16" w:name="page17"/>
    <w:bookmarkEnd w:id="1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TECHNIP, S.A.</w:t>
      </w:r>
    </w:p>
    <w:p>
      <w:pPr>
        <w:spacing w:after="0" w:line="225" w:lineRule="exact"/>
        <w:rPr>
          <w:sz w:val="20"/>
          <w:szCs w:val="20"/>
          <w:color w:val="auto"/>
        </w:rPr>
      </w:pPr>
    </w:p>
    <w:tbl>
      <w:tblPr>
        <w:tblLayout w:type="fixed"/>
        <w:tblInd w:w="2980" w:type="dxa"/>
        <w:tblCellMar>
          <w:top w:w="0" w:type="dxa"/>
          <w:left w:w="0" w:type="dxa"/>
          <w:bottom w:w="0" w:type="dxa"/>
          <w:right w:w="0" w:type="dxa"/>
        </w:tblCellMar>
      </w:tblPr>
      <w:tr>
        <w:trPr>
          <w:trHeight w:val="230"/>
        </w:trPr>
        <w:tc>
          <w:tcPr>
            <w:tcW w:w="3260" w:type="dxa"/>
            <w:vAlign w:val="bottom"/>
          </w:tcPr>
          <w:p>
            <w:pPr>
              <w:ind w:left="26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Freeman</w:t>
            </w:r>
          </w:p>
        </w:tc>
      </w:tr>
      <w:tr>
        <w:trPr>
          <w:trHeight w:val="209"/>
        </w:trPr>
        <w:tc>
          <w:tcPr>
            <w:tcW w:w="3260" w:type="dxa"/>
            <w:vAlign w:val="bottom"/>
          </w:tcPr>
          <w:p>
            <w:pPr>
              <w:ind w:left="268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John Freeman</w:t>
            </w:r>
          </w:p>
        </w:tc>
      </w:tr>
      <w:tr>
        <w:trPr>
          <w:trHeight w:val="230"/>
        </w:trPr>
        <w:tc>
          <w:tcPr>
            <w:tcW w:w="3260" w:type="dxa"/>
            <w:vAlign w:val="bottom"/>
          </w:tcPr>
          <w:p>
            <w:pPr>
              <w:ind w:left="268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Group General Counsel</w:t>
            </w:r>
          </w:p>
        </w:tc>
      </w:tr>
      <w:tr>
        <w:trPr>
          <w:trHeight w:val="648"/>
        </w:trPr>
        <w:tc>
          <w:tcPr>
            <w:tcW w:w="3260" w:type="dxa"/>
            <w:vAlign w:val="bottom"/>
          </w:tcPr>
          <w:p>
            <w:pPr>
              <w:spacing w:after="0"/>
              <w:rPr>
                <w:sz w:val="20"/>
                <w:szCs w:val="20"/>
                <w:color w:val="auto"/>
              </w:rPr>
            </w:pPr>
            <w:r>
              <w:rPr>
                <w:rFonts w:ascii="Arial" w:cs="Arial" w:eastAsia="Arial" w:hAnsi="Arial"/>
                <w:sz w:val="18"/>
                <w:szCs w:val="18"/>
                <w:color w:val="auto"/>
                <w:w w:val="94"/>
              </w:rPr>
              <w:t>[Signature Page to the Joinder Agreement]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-119380</wp:posOffset>
            </wp:positionV>
            <wp:extent cx="1689735" cy="900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8973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14,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Technip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89 Avenue de la Grande Armée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75016 Paris,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Group General Counsel</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Business Combination Agreement Waiver of Certain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Freeman:</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Reference is made to that certain Business Combination Agreement (the “</w:t>
      </w:r>
      <w:r>
        <w:rPr>
          <w:rFonts w:ascii="Arial" w:cs="Arial" w:eastAsia="Arial" w:hAnsi="Arial"/>
          <w:sz w:val="18"/>
          <w:szCs w:val="18"/>
          <w:u w:val="single" w:color="auto"/>
          <w:color w:val="auto"/>
        </w:rPr>
        <w:t>BCA</w:t>
      </w:r>
      <w:r>
        <w:rPr>
          <w:rFonts w:ascii="Arial" w:cs="Arial" w:eastAsia="Arial" w:hAnsi="Arial"/>
          <w:sz w:val="18"/>
          <w:szCs w:val="18"/>
          <w:color w:val="auto"/>
        </w:rPr>
        <w:t xml:space="preserve">”), dated as of June 14, 2016, by and among FMC Technologies, Inc., a Delaware corporation, TechnipFMC Limited (f/k/a FMC Technologies SIS Limited), a private limited company incorporated under the laws of England and Wales and a wholly owned subsidiary of FMCTI, and Technip S.A.,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Capitalized terms used but not defined in this letter agreement shall have the meanings ascribed to such terms in the BCA.</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accordance with Section 8.3(d) of the BCA, each party to this letter agreement irrevocably waives the conditions set forth in Section 6.1(b)(i) of the BCA, the second sentence of Section 6.1(d) of the BCA and Section 6.1(i) of the BCA (solely for purposes of Section 6.1 and without limiting FMCTI’s obligations to consummate the Preliminary Transactions as described in Section 5.16(a) of the FMCTI Disclosure Letter). Except as provided herein, the BCA is in all respects ratified and confirmed and all the terms, conditions, and provisions thereof shall remain in full force and effect.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420"/>
          </w:cols>
          <w:pgMar w:left="240" w:top="121" w:right="2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95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Please confirm your agreement with the foregoing by signing and returning one copy of this letter to the undersigned, whereupon this letter agreement shall become a binding agreement among the parties to the BCA.</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FMC TECHNOLOGIES,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Dianne B. Ralston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Dianne Ralston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TECHNIPFMC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Peder M. Brøndmo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Peder M. Brøndmo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Alternate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date first written above: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TECHNIP S.A.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Freeman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John Freeman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Group General Counsel</w:t>
            </w:r>
          </w:p>
        </w:tc>
      </w:tr>
    </w:tbl>
    <w:p>
      <w:pPr>
        <w:spacing w:after="0" w:line="3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7"/>
          <w:szCs w:val="17"/>
          <w:color w:val="auto"/>
        </w:rPr>
        <w:t>Davis Polk &amp; Wardwell LLP</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3"/>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2019-12-09T03:45:43Z</dcterms:created>
  <dcterms:modified xsi:type="dcterms:W3CDTF">2019-12-09T03:45:43Z</dcterms:modified>
</cp:coreProperties>
</file>