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G87110105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G87110105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Invesco Ltd.</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98-0557567</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Bermuda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23,007,752</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24,340,400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24,340,400</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5.4%</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HC, 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480" w:right="8180" w:hanging="553"/>
        <w:spacing w:after="0" w:line="335" w:lineRule="auto"/>
        <w:tabs>
          <w:tab w:leader="none" w:pos="14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TechnipFMC PLC</w:t>
      </w:r>
    </w:p>
    <w:p>
      <w:pPr>
        <w:spacing w:after="0" w:line="11" w:lineRule="exact"/>
        <w:rPr>
          <w:rFonts w:ascii="Arial" w:cs="Arial" w:eastAsia="Arial" w:hAnsi="Arial"/>
          <w:sz w:val="19"/>
          <w:szCs w:val="19"/>
          <w:b w:val="1"/>
          <w:bCs w:val="1"/>
          <w:color w:val="auto"/>
        </w:rPr>
      </w:pPr>
    </w:p>
    <w:p>
      <w:pPr>
        <w:ind w:left="1480" w:hanging="553"/>
        <w:spacing w:after="0"/>
        <w:tabs>
          <w:tab w:leader="none" w:pos="14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480"/>
        <w:spacing w:after="0"/>
        <w:rPr>
          <w:rFonts w:ascii="Arial" w:cs="Arial" w:eastAsia="Arial" w:hAnsi="Arial"/>
          <w:sz w:val="22"/>
          <w:szCs w:val="22"/>
          <w:b w:val="1"/>
          <w:bCs w:val="1"/>
          <w:color w:val="auto"/>
        </w:rPr>
      </w:pPr>
      <w:r>
        <w:rPr>
          <w:rFonts w:ascii="Arial" w:cs="Arial" w:eastAsia="Arial" w:hAnsi="Arial"/>
          <w:sz w:val="22"/>
          <w:szCs w:val="22"/>
          <w:color w:val="auto"/>
        </w:rPr>
        <w:t>1 Saint Paul's Churchyard London EC4M 8AP, United Kingdom</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480" w:right="724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480" w:right="438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480" w:right="874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480" w:right="738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480" w:right="8300" w:hanging="553"/>
        <w:spacing w:after="0" w:line="335" w:lineRule="auto"/>
        <w:tabs>
          <w:tab w:leader="none" w:pos="14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G87110105</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(a)</w:t>
        <w:tab/>
        <w:t>[ ]</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(b)</w:t>
        <w:tab/>
        <w:t>[ ]</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(c)</w:t>
        <w:tab/>
        <w:t>[ ]</w:t>
      </w:r>
    </w:p>
    <w:p>
      <w:pPr>
        <w:spacing w:after="0" w:line="24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(d)</w:t>
        <w:tab/>
        <w:t>[ ]</w:t>
      </w:r>
    </w:p>
    <w:p>
      <w:pPr>
        <w:spacing w:after="0" w:line="24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(e)</w:t>
        <w:tab/>
        <w:t>[X]</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(g)</w:t>
        <w:tab/>
        <w:t>[X]</w:t>
      </w:r>
    </w:p>
    <w:p>
      <w:pPr>
        <w:spacing w:after="0" w:line="12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(h)</w:t>
        <w:tab/>
        <w:t>[ ]</w:t>
      </w:r>
    </w:p>
    <w:p>
      <w:pPr>
        <w:spacing w:after="0" w:line="24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8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260"/>
            <w:col w:w="900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480" w:hanging="553"/>
        <w:spacing w:after="0"/>
        <w:tabs>
          <w:tab w:leader="none" w:pos="1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480" w:right="86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24,340,400 shares of the Issuer which are held of record by clients of Invesco Ltd. ..</w:t>
      </w:r>
    </w:p>
    <w:p>
      <w:pPr>
        <w:spacing w:after="0" w:line="24" w:lineRule="exact"/>
        <w:rPr>
          <w:rFonts w:ascii="Arial" w:cs="Arial" w:eastAsia="Arial" w:hAnsi="Arial"/>
          <w:sz w:val="22"/>
          <w:szCs w:val="22"/>
          <w:color w:val="auto"/>
        </w:rPr>
      </w:pPr>
    </w:p>
    <w:p>
      <w:pPr>
        <w:ind w:left="1480" w:hanging="553"/>
        <w:spacing w:after="0"/>
        <w:tabs>
          <w:tab w:leader="none" w:pos="1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480"/>
        <w:spacing w:after="0"/>
        <w:rPr>
          <w:rFonts w:ascii="Arial" w:cs="Arial" w:eastAsia="Arial" w:hAnsi="Arial"/>
          <w:sz w:val="22"/>
          <w:szCs w:val="22"/>
          <w:color w:val="auto"/>
        </w:rPr>
      </w:pPr>
      <w:r>
        <w:rPr>
          <w:rFonts w:ascii="Arial" w:cs="Arial" w:eastAsia="Arial" w:hAnsi="Arial"/>
          <w:sz w:val="22"/>
          <w:szCs w:val="22"/>
          <w:color w:val="auto"/>
        </w:rPr>
        <w:t>5.4%</w:t>
      </w:r>
    </w:p>
    <w:p>
      <w:pPr>
        <w:spacing w:after="0" w:line="125" w:lineRule="exact"/>
        <w:rPr>
          <w:rFonts w:ascii="Arial" w:cs="Arial" w:eastAsia="Arial" w:hAnsi="Arial"/>
          <w:sz w:val="22"/>
          <w:szCs w:val="22"/>
          <w:color w:val="auto"/>
        </w:rPr>
      </w:pPr>
    </w:p>
    <w:p>
      <w:pPr>
        <w:ind w:left="1480" w:hanging="553"/>
        <w:spacing w:after="0"/>
        <w:tabs>
          <w:tab w:leader="none" w:pos="1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480" w:type="dxa"/>
        <w:tblCellMar>
          <w:top w:w="0" w:type="dxa"/>
          <w:left w:w="0" w:type="dxa"/>
          <w:bottom w:w="0" w:type="dxa"/>
          <w:right w:w="0" w:type="dxa"/>
        </w:tblCellMar>
      </w:tblPr>
      <w:tr>
        <w:trPr>
          <w:trHeight w:val="275"/>
        </w:trPr>
        <w:tc>
          <w:tcPr>
            <w:tcW w:w="540" w:type="dxa"/>
            <w:vAlign w:val="bottom"/>
          </w:tcPr>
          <w:p>
            <w:pPr>
              <w:spacing w:after="0"/>
              <w:rPr>
                <w:sz w:val="20"/>
                <w:szCs w:val="20"/>
                <w:color w:val="auto"/>
              </w:rPr>
            </w:pPr>
            <w:r>
              <w:rPr>
                <w:rFonts w:ascii="Arial" w:cs="Arial" w:eastAsia="Arial" w:hAnsi="Arial"/>
                <w:sz w:val="22"/>
                <w:szCs w:val="22"/>
                <w:color w:val="auto"/>
              </w:rPr>
              <w:t>(i)</w:t>
            </w:r>
          </w:p>
        </w:tc>
        <w:tc>
          <w:tcPr>
            <w:tcW w:w="4580" w:type="dxa"/>
            <w:vAlign w:val="bottom"/>
          </w:tcPr>
          <w:p>
            <w:pPr>
              <w:ind w:left="240"/>
              <w:spacing w:after="0"/>
              <w:rPr>
                <w:sz w:val="20"/>
                <w:szCs w:val="20"/>
                <w:color w:val="auto"/>
              </w:rPr>
            </w:pPr>
            <w:r>
              <w:rPr>
                <w:rFonts w:ascii="Arial" w:cs="Arial" w:eastAsia="Arial" w:hAnsi="Arial"/>
                <w:sz w:val="22"/>
                <w:szCs w:val="22"/>
                <w:color w:val="auto"/>
              </w:rPr>
              <w:t>sole power to vote or to direct the vote</w:t>
            </w:r>
          </w:p>
        </w:tc>
        <w:tc>
          <w:tcPr>
            <w:tcW w:w="1140" w:type="dxa"/>
            <w:vAlign w:val="bottom"/>
          </w:tcPr>
          <w:p>
            <w:pPr>
              <w:ind w:left="180"/>
              <w:spacing w:after="0"/>
              <w:rPr>
                <w:sz w:val="20"/>
                <w:szCs w:val="20"/>
                <w:color w:val="auto"/>
              </w:rPr>
            </w:pPr>
            <w:r>
              <w:rPr>
                <w:rFonts w:ascii="Arial" w:cs="Arial" w:eastAsia="Arial" w:hAnsi="Arial"/>
                <w:sz w:val="22"/>
                <w:szCs w:val="22"/>
                <w:color w:val="auto"/>
                <w:w w:val="85"/>
              </w:rPr>
              <w:t>23,007,752</w:t>
            </w:r>
          </w:p>
        </w:tc>
        <w:tc>
          <w:tcPr>
            <w:tcW w:w="0" w:type="dxa"/>
            <w:vAlign w:val="bottom"/>
          </w:tcPr>
          <w:p>
            <w:pPr>
              <w:spacing w:after="0"/>
              <w:rPr>
                <w:sz w:val="1"/>
                <w:szCs w:val="1"/>
                <w:color w:val="auto"/>
              </w:rPr>
            </w:pPr>
          </w:p>
        </w:tc>
      </w:tr>
      <w:tr>
        <w:trPr>
          <w:trHeight w:val="378"/>
        </w:trPr>
        <w:tc>
          <w:tcPr>
            <w:tcW w:w="540" w:type="dxa"/>
            <w:vAlign w:val="bottom"/>
          </w:tcPr>
          <w:p>
            <w:pPr>
              <w:spacing w:after="0"/>
              <w:rPr>
                <w:sz w:val="20"/>
                <w:szCs w:val="20"/>
                <w:color w:val="auto"/>
              </w:rPr>
            </w:pPr>
            <w:r>
              <w:rPr>
                <w:rFonts w:ascii="Arial" w:cs="Arial" w:eastAsia="Arial" w:hAnsi="Arial"/>
                <w:sz w:val="22"/>
                <w:szCs w:val="22"/>
                <w:color w:val="auto"/>
              </w:rPr>
              <w:t>(ii)</w:t>
            </w:r>
          </w:p>
        </w:tc>
        <w:tc>
          <w:tcPr>
            <w:tcW w:w="4580" w:type="dxa"/>
            <w:vAlign w:val="bottom"/>
          </w:tcPr>
          <w:p>
            <w:pPr>
              <w:ind w:left="240"/>
              <w:spacing w:after="0"/>
              <w:rPr>
                <w:sz w:val="20"/>
                <w:szCs w:val="20"/>
                <w:color w:val="auto"/>
              </w:rPr>
            </w:pPr>
            <w:r>
              <w:rPr>
                <w:rFonts w:ascii="Arial" w:cs="Arial" w:eastAsia="Arial" w:hAnsi="Arial"/>
                <w:sz w:val="22"/>
                <w:szCs w:val="22"/>
                <w:color w:val="auto"/>
              </w:rPr>
              <w:t>shared power to vote or to direct the vote</w:t>
            </w:r>
          </w:p>
        </w:tc>
        <w:tc>
          <w:tcPr>
            <w:tcW w:w="1140" w:type="dxa"/>
            <w:vAlign w:val="bottom"/>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47"/>
        </w:trPr>
        <w:tc>
          <w:tcPr>
            <w:tcW w:w="540" w:type="dxa"/>
            <w:vAlign w:val="bottom"/>
            <w:vMerge w:val="restart"/>
          </w:tcPr>
          <w:p>
            <w:pPr>
              <w:spacing w:after="0"/>
              <w:rPr>
                <w:sz w:val="20"/>
                <w:szCs w:val="20"/>
                <w:color w:val="auto"/>
              </w:rPr>
            </w:pPr>
            <w:r>
              <w:rPr>
                <w:rFonts w:ascii="Arial" w:cs="Arial" w:eastAsia="Arial" w:hAnsi="Arial"/>
                <w:sz w:val="22"/>
                <w:szCs w:val="22"/>
                <w:color w:val="auto"/>
              </w:rPr>
              <w:t>(iii)</w:t>
            </w:r>
          </w:p>
        </w:tc>
        <w:tc>
          <w:tcPr>
            <w:tcW w:w="4580" w:type="dxa"/>
            <w:vAlign w:val="bottom"/>
          </w:tcPr>
          <w:p>
            <w:pPr>
              <w:ind w:left="240"/>
              <w:spacing w:after="0"/>
              <w:rPr>
                <w:sz w:val="20"/>
                <w:szCs w:val="20"/>
                <w:color w:val="auto"/>
              </w:rPr>
            </w:pPr>
            <w:r>
              <w:rPr>
                <w:rFonts w:ascii="Arial" w:cs="Arial" w:eastAsia="Arial" w:hAnsi="Arial"/>
                <w:sz w:val="22"/>
                <w:szCs w:val="22"/>
                <w:color w:val="auto"/>
                <w:w w:val="91"/>
              </w:rPr>
              <w:t>sole power to dispose or to direct the disposition</w:t>
            </w:r>
          </w:p>
        </w:tc>
        <w:tc>
          <w:tcPr>
            <w:tcW w:w="1140" w:type="dxa"/>
            <w:vAlign w:val="bottom"/>
            <w:vMerge w:val="restart"/>
          </w:tcPr>
          <w:p>
            <w:pPr>
              <w:ind w:left="180"/>
              <w:spacing w:after="0"/>
              <w:rPr>
                <w:sz w:val="20"/>
                <w:szCs w:val="20"/>
                <w:color w:val="auto"/>
              </w:rPr>
            </w:pPr>
            <w:r>
              <w:rPr>
                <w:rFonts w:ascii="Arial" w:cs="Arial" w:eastAsia="Arial" w:hAnsi="Arial"/>
                <w:sz w:val="22"/>
                <w:szCs w:val="22"/>
                <w:color w:val="auto"/>
                <w:w w:val="85"/>
              </w:rPr>
              <w:t>24,340,400</w:t>
            </w:r>
          </w:p>
        </w:tc>
        <w:tc>
          <w:tcPr>
            <w:tcW w:w="0" w:type="dxa"/>
            <w:vAlign w:val="bottom"/>
          </w:tcPr>
          <w:p>
            <w:pPr>
              <w:spacing w:after="0"/>
              <w:rPr>
                <w:sz w:val="1"/>
                <w:szCs w:val="1"/>
                <w:color w:val="auto"/>
              </w:rPr>
            </w:pPr>
          </w:p>
        </w:tc>
      </w:tr>
      <w:tr>
        <w:trPr>
          <w:trHeight w:val="153"/>
        </w:trPr>
        <w:tc>
          <w:tcPr>
            <w:tcW w:w="540" w:type="dxa"/>
            <w:vAlign w:val="bottom"/>
            <w:vMerge w:val="continue"/>
          </w:tcPr>
          <w:p>
            <w:pPr>
              <w:spacing w:after="0"/>
              <w:rPr>
                <w:sz w:val="13"/>
                <w:szCs w:val="13"/>
                <w:color w:val="auto"/>
              </w:rPr>
            </w:pPr>
          </w:p>
        </w:tc>
        <w:tc>
          <w:tcPr>
            <w:tcW w:w="4580" w:type="dxa"/>
            <w:vAlign w:val="bottom"/>
            <w:vMerge w:val="restart"/>
          </w:tcPr>
          <w:p>
            <w:pPr>
              <w:ind w:left="240"/>
              <w:spacing w:after="0"/>
              <w:rPr>
                <w:sz w:val="20"/>
                <w:szCs w:val="20"/>
                <w:color w:val="auto"/>
              </w:rPr>
            </w:pPr>
            <w:r>
              <w:rPr>
                <w:rFonts w:ascii="Arial" w:cs="Arial" w:eastAsia="Arial" w:hAnsi="Arial"/>
                <w:sz w:val="22"/>
                <w:szCs w:val="22"/>
                <w:color w:val="auto"/>
              </w:rPr>
              <w:t>of</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45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540" w:type="dxa"/>
            <w:vAlign w:val="bottom"/>
            <w:vMerge w:val="restart"/>
          </w:tcPr>
          <w:p>
            <w:pPr>
              <w:spacing w:after="0"/>
              <w:rPr>
                <w:sz w:val="20"/>
                <w:szCs w:val="20"/>
                <w:color w:val="auto"/>
              </w:rPr>
            </w:pPr>
            <w:r>
              <w:rPr>
                <w:rFonts w:ascii="Arial" w:cs="Arial" w:eastAsia="Arial" w:hAnsi="Arial"/>
                <w:sz w:val="22"/>
                <w:szCs w:val="22"/>
                <w:color w:val="auto"/>
              </w:rPr>
              <w:t>(iv)</w:t>
            </w:r>
          </w:p>
        </w:tc>
        <w:tc>
          <w:tcPr>
            <w:tcW w:w="4580" w:type="dxa"/>
            <w:vAlign w:val="bottom"/>
          </w:tcPr>
          <w:p>
            <w:pPr>
              <w:ind w:left="240"/>
              <w:spacing w:after="0"/>
              <w:rPr>
                <w:sz w:val="20"/>
                <w:szCs w:val="20"/>
                <w:color w:val="auto"/>
              </w:rPr>
            </w:pPr>
            <w:r>
              <w:rPr>
                <w:rFonts w:ascii="Arial" w:cs="Arial" w:eastAsia="Arial" w:hAnsi="Arial"/>
                <w:sz w:val="22"/>
                <w:szCs w:val="22"/>
                <w:color w:val="auto"/>
              </w:rPr>
              <w:t>shared power to dispose or to direct the</w:t>
            </w:r>
          </w:p>
        </w:tc>
        <w:tc>
          <w:tcPr>
            <w:tcW w:w="114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3"/>
        </w:trPr>
        <w:tc>
          <w:tcPr>
            <w:tcW w:w="540" w:type="dxa"/>
            <w:vAlign w:val="bottom"/>
            <w:vMerge w:val="continue"/>
          </w:tcPr>
          <w:p>
            <w:pPr>
              <w:spacing w:after="0"/>
              <w:rPr>
                <w:sz w:val="13"/>
                <w:szCs w:val="13"/>
                <w:color w:val="auto"/>
              </w:rPr>
            </w:pPr>
          </w:p>
        </w:tc>
        <w:tc>
          <w:tcPr>
            <w:tcW w:w="4580" w:type="dxa"/>
            <w:vAlign w:val="bottom"/>
            <w:vMerge w:val="restart"/>
          </w:tcPr>
          <w:p>
            <w:pPr>
              <w:ind w:left="240"/>
              <w:spacing w:after="0"/>
              <w:rPr>
                <w:sz w:val="20"/>
                <w:szCs w:val="20"/>
                <w:color w:val="auto"/>
              </w:rPr>
            </w:pPr>
            <w:r>
              <w:rPr>
                <w:rFonts w:ascii="Arial" w:cs="Arial" w:eastAsia="Arial" w:hAnsi="Arial"/>
                <w:sz w:val="22"/>
                <w:szCs w:val="22"/>
                <w:color w:val="auto"/>
              </w:rPr>
              <w:t>disposition of</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45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ectPr>
          <w:pgSz w:w="11900" w:h="16838" w:orient="portrait"/>
          <w:cols w:equalWidth="0" w:num="1">
            <w:col w:w="11260"/>
          </w:cols>
          <w:pgMar w:left="320" w:top="423" w:right="319" w:bottom="0" w:gutter="0" w:footer="0" w:header="0"/>
          <w:type w:val="continuous"/>
        </w:sectPr>
      </w:pPr>
    </w:p>
    <w:bookmarkStart w:id="3" w:name="page4"/>
    <w:bookmarkEnd w:id="3"/>
    <w:p>
      <w:pPr>
        <w:ind w:left="920" w:right="60"/>
        <w:spacing w:after="0" w:line="329"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7" w:lineRule="exact"/>
        <w:rPr>
          <w:sz w:val="20"/>
          <w:szCs w:val="20"/>
          <w:color w:val="auto"/>
        </w:rPr>
      </w:pPr>
    </w:p>
    <w:p>
      <w:pPr>
        <w:ind w:left="920" w:right="44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ind w:left="920"/>
        <w:spacing w:after="0" w:line="238" w:lineRule="auto"/>
        <w:rPr>
          <w:sz w:val="20"/>
          <w:szCs w:val="20"/>
          <w:color w:val="auto"/>
        </w:rPr>
      </w:pPr>
      <w:r>
        <w:rPr>
          <w:rFonts w:ascii="Arial" w:cs="Arial" w:eastAsia="Arial" w:hAnsi="Arial"/>
          <w:sz w:val="22"/>
          <w:szCs w:val="22"/>
          <w:color w:val="auto"/>
        </w:rPr>
        <w:t>Invesco Asset Management Japan Limited</w:t>
      </w:r>
    </w:p>
    <w:p>
      <w:pPr>
        <w:ind w:left="920"/>
        <w:spacing w:after="0" w:line="230" w:lineRule="auto"/>
        <w:rPr>
          <w:sz w:val="20"/>
          <w:szCs w:val="20"/>
          <w:color w:val="auto"/>
        </w:rPr>
      </w:pPr>
      <w:r>
        <w:rPr>
          <w:rFonts w:ascii="Arial" w:cs="Arial" w:eastAsia="Arial" w:hAnsi="Arial"/>
          <w:sz w:val="22"/>
          <w:szCs w:val="22"/>
          <w:color w:val="auto"/>
        </w:rPr>
        <w:t>Invesco Investment Advisers, LLC</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00"/>
          </w:cols>
          <w:pgMar w:left="320" w:top="118" w:right="4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L.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 February 12, 2019</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Nancy L.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Global Assurance Officer</w:t>
      </w:r>
    </w:p>
    <w:p>
      <w:pPr>
        <w:sectPr>
          <w:pgSz w:w="11900" w:h="16838" w:orient="portrait"/>
          <w:cols w:equalWidth="0" w:num="1">
            <w:col w:w="9019"/>
          </w:cols>
          <w:pgMar w:left="1440" w:top="409" w:right="1440" w:bottom="1440" w:gutter="0" w:footer="0" w:header="0"/>
        </w:sectPr>
      </w:pPr>
    </w:p>
    <w:bookmarkStart w:id="5" w:name="page6"/>
    <w:bookmarkEnd w:id="5"/>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4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01/31/2019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Nancy Tomassone</w:t>
      </w:r>
    </w:p>
    <w:p>
      <w:pPr>
        <w:spacing w:after="0" w:line="230" w:lineRule="auto"/>
        <w:rPr>
          <w:sz w:val="20"/>
          <w:szCs w:val="20"/>
          <w:color w:val="auto"/>
        </w:rPr>
      </w:pPr>
      <w:r>
        <w:rPr>
          <w:rFonts w:ascii="Arial" w:cs="Arial" w:eastAsia="Arial" w:hAnsi="Arial"/>
          <w:sz w:val="22"/>
          <w:szCs w:val="22"/>
          <w:color w:val="auto"/>
        </w:rPr>
        <w:t>Name: Nancy Tomassone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Assurance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Robert R. Leveille</w:t>
      </w:r>
    </w:p>
    <w:p>
      <w:pPr>
        <w:spacing w:after="0" w:line="230" w:lineRule="auto"/>
        <w:rPr>
          <w:sz w:val="20"/>
          <w:szCs w:val="20"/>
          <w:color w:val="auto"/>
        </w:rPr>
      </w:pPr>
      <w:r>
        <w:rPr>
          <w:rFonts w:ascii="Arial" w:cs="Arial" w:eastAsia="Arial" w:hAnsi="Arial"/>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Jasmin Jabri</w:t>
      </w:r>
    </w:p>
    <w:p>
      <w:pPr>
        <w:spacing w:after="0" w:line="230" w:lineRule="auto"/>
        <w:rPr>
          <w:sz w:val="20"/>
          <w:szCs w:val="20"/>
          <w:color w:val="auto"/>
        </w:rPr>
      </w:pPr>
      <w:r>
        <w:rPr>
          <w:rFonts w:ascii="Arial" w:cs="Arial" w:eastAsia="Arial" w:hAnsi="Arial"/>
          <w:sz w:val="22"/>
          <w:szCs w:val="22"/>
          <w:color w:val="auto"/>
        </w:rPr>
        <w:t>Name: Jasmin Jabri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Odeh Stevens</w:t>
      </w:r>
    </w:p>
    <w:p>
      <w:pPr>
        <w:spacing w:after="0" w:line="230" w:lineRule="auto"/>
        <w:rPr>
          <w:sz w:val="20"/>
          <w:szCs w:val="20"/>
          <w:color w:val="auto"/>
        </w:rPr>
      </w:pPr>
      <w:r>
        <w:rPr>
          <w:rFonts w:ascii="Arial" w:cs="Arial" w:eastAsia="Arial" w:hAnsi="Arial"/>
          <w:sz w:val="22"/>
          <w:szCs w:val="22"/>
          <w:color w:val="auto"/>
        </w:rPr>
        <w:t>Name: Odeh Stevens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Stephanie Ehrenfried</w:t>
      </w:r>
    </w:p>
    <w:p>
      <w:pPr>
        <w:spacing w:after="0" w:line="230" w:lineRule="auto"/>
        <w:rPr>
          <w:sz w:val="20"/>
          <w:szCs w:val="20"/>
          <w:color w:val="auto"/>
        </w:rPr>
      </w:pPr>
      <w:r>
        <w:rPr>
          <w:rFonts w:ascii="Arial" w:cs="Arial" w:eastAsia="Arial" w:hAnsi="Arial"/>
          <w:sz w:val="22"/>
          <w:szCs w:val="22"/>
          <w:color w:val="auto"/>
        </w:rPr>
        <w:t>Name: Stephanie Ehrenfried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Legal Continental Europe &amp; Cross-Border Funds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UK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Matthieu Grosclaude</w:t>
      </w:r>
    </w:p>
    <w:p>
      <w:pPr>
        <w:spacing w:after="0" w:line="230" w:lineRule="auto"/>
        <w:rPr>
          <w:sz w:val="20"/>
          <w:szCs w:val="20"/>
          <w:color w:val="auto"/>
        </w:rPr>
      </w:pPr>
      <w:r>
        <w:rPr>
          <w:rFonts w:ascii="Arial" w:cs="Arial" w:eastAsia="Arial" w:hAnsi="Arial"/>
          <w:sz w:val="22"/>
          <w:szCs w:val="22"/>
          <w:color w:val="auto"/>
        </w:rPr>
        <w:t>Name: Matthieu Grosclaude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COO, EMEA Retail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Bernard Aybran</w:t>
      </w:r>
    </w:p>
    <w:p>
      <w:pPr>
        <w:spacing w:after="0" w:line="230" w:lineRule="auto"/>
        <w:rPr>
          <w:sz w:val="20"/>
          <w:szCs w:val="20"/>
          <w:color w:val="auto"/>
        </w:rPr>
      </w:pPr>
      <w:r>
        <w:rPr>
          <w:rFonts w:ascii="Arial" w:cs="Arial" w:eastAsia="Arial" w:hAnsi="Arial"/>
          <w:sz w:val="22"/>
          <w:szCs w:val="22"/>
          <w:color w:val="auto"/>
        </w:rPr>
        <w:t>Name: Bernard Aybran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Multi-Management CIO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Jacky Hsiao</w:t>
      </w:r>
    </w:p>
    <w:p>
      <w:pPr>
        <w:spacing w:after="0" w:line="230" w:lineRule="auto"/>
        <w:rPr>
          <w:sz w:val="20"/>
          <w:szCs w:val="20"/>
          <w:color w:val="auto"/>
        </w:rPr>
      </w:pPr>
      <w:r>
        <w:rPr>
          <w:rFonts w:ascii="Arial" w:cs="Arial" w:eastAsia="Arial" w:hAnsi="Arial"/>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General Manager</w:t>
      </w:r>
    </w:p>
    <w:p>
      <w:pPr>
        <w:sectPr>
          <w:pgSz w:w="11900" w:h="16877" w:orient="portrait"/>
          <w:cols w:equalWidth="0" w:num="1">
            <w:col w:w="11120"/>
          </w:cols>
          <w:pgMar w:left="340" w:top="111" w:right="439" w:bottom="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Invesco Asset Management (Japan)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Masakazu Hasegawa</w:t>
      </w:r>
    </w:p>
    <w:p>
      <w:pPr>
        <w:spacing w:after="0" w:line="230" w:lineRule="auto"/>
        <w:rPr>
          <w:sz w:val="20"/>
          <w:szCs w:val="20"/>
          <w:color w:val="auto"/>
        </w:rPr>
      </w:pPr>
      <w:r>
        <w:rPr>
          <w:rFonts w:ascii="Arial" w:cs="Arial" w:eastAsia="Arial" w:hAnsi="Arial"/>
          <w:sz w:val="22"/>
          <w:szCs w:val="22"/>
          <w:color w:val="auto"/>
        </w:rPr>
        <w:t>Name: Masakazu Hasegawa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CAO</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Global Asset Management DAC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Cormac O'Sullivan</w:t>
      </w:r>
    </w:p>
    <w:p>
      <w:pPr>
        <w:spacing w:after="0" w:line="230" w:lineRule="auto"/>
        <w:rPr>
          <w:sz w:val="20"/>
          <w:szCs w:val="20"/>
          <w:color w:val="auto"/>
        </w:rPr>
      </w:pPr>
      <w:r>
        <w:rPr>
          <w:rFonts w:ascii="Arial" w:cs="Arial" w:eastAsia="Arial" w:hAnsi="Arial"/>
          <w:sz w:val="22"/>
          <w:szCs w:val="22"/>
          <w:color w:val="auto"/>
        </w:rPr>
        <w:t>Name: Cormac O'Sullivan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Director, PMO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Capital Management,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Melanie Zimdars</w:t>
      </w:r>
    </w:p>
    <w:p>
      <w:pPr>
        <w:spacing w:after="0" w:line="230" w:lineRule="auto"/>
        <w:rPr>
          <w:sz w:val="20"/>
          <w:szCs w:val="20"/>
          <w:color w:val="auto"/>
        </w:rPr>
      </w:pPr>
      <w:r>
        <w:rPr>
          <w:rFonts w:ascii="Arial" w:cs="Arial" w:eastAsia="Arial" w:hAnsi="Arial"/>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ICM &amp; ETFs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Trisha B Hancock</w:t>
      </w:r>
    </w:p>
    <w:p>
      <w:pPr>
        <w:spacing w:after="0" w:line="230" w:lineRule="auto"/>
        <w:rPr>
          <w:sz w:val="20"/>
          <w:szCs w:val="20"/>
          <w:color w:val="auto"/>
        </w:rPr>
      </w:pPr>
      <w:r>
        <w:rPr>
          <w:rFonts w:ascii="Arial" w:cs="Arial" w:eastAsia="Arial" w:hAnsi="Arial"/>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Broker-Dealers and UITs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Jane Stewart</w:t>
      </w:r>
    </w:p>
    <w:p>
      <w:pPr>
        <w:spacing w:after="0" w:line="230" w:lineRule="auto"/>
        <w:rPr>
          <w:sz w:val="20"/>
          <w:szCs w:val="20"/>
          <w:color w:val="auto"/>
        </w:rPr>
      </w:pPr>
      <w:r>
        <w:rPr>
          <w:rFonts w:ascii="Arial" w:cs="Arial" w:eastAsia="Arial" w:hAnsi="Arial"/>
          <w:sz w:val="22"/>
          <w:szCs w:val="22"/>
          <w:color w:val="auto"/>
        </w:rPr>
        <w:t>Name: Jane Stewart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Compliance Manager</w:t>
      </w:r>
    </w:p>
    <w:sectPr>
      <w:pgSz w:w="11900" w:h="16838" w:orient="portrait"/>
      <w:cols w:equalWidth="0" w:num="1">
        <w:col w:w="10119"/>
      </w:cols>
      <w:pgMar w:left="3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2019-12-20T00:50:18Z</dcterms:created>
  <dcterms:modified xsi:type="dcterms:W3CDTF">2019-12-20T00:50:18Z</dcterms:modified>
</cp:coreProperties>
</file>