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Scott Mark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ST. PAUL'S CHURCHYARD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TechnipFMC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FTI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01/17/2017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3"/>
        <w:spacing w:after="0"/>
        <w:rPr>
          <w:sz w:val="20"/>
          <w:szCs w:val="20"/>
          <w:color w:val="auto"/>
        </w:rPr>
      </w:pPr>
      <w:r>
        <w:rPr>
          <w:rFonts w:ascii="Arial" w:cs="Arial" w:eastAsia="Arial" w:hAnsi="Arial"/>
          <w:sz w:val="16"/>
          <w:szCs w:val="16"/>
          <w:color w:val="0000FF"/>
        </w:rPr>
        <w:t>EVP, Quality HSE/Sec &amp; Comm</w:t>
      </w:r>
    </w:p>
    <w:p>
      <w:pPr>
        <w:spacing w:after="0" w:line="33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EC4M 8AP</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40" w:type="dxa"/>
            <w:vAlign w:val="bottom"/>
            <w:gridSpan w:val="9"/>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3"/>
            <w:vMerge w:val="restart"/>
          </w:tcPr>
          <w:p>
            <w:pPr>
              <w:jc w:val="right"/>
              <w:ind w:righ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Pr>
          <w:p>
            <w:pPr>
              <w:spacing w:after="0"/>
              <w:rPr>
                <w:sz w:val="23"/>
                <w:szCs w:val="23"/>
                <w:color w:val="auto"/>
              </w:rPr>
            </w:pPr>
          </w:p>
        </w:tc>
        <w:tc>
          <w:tcPr>
            <w:tcW w:w="1760" w:type="dxa"/>
            <w:vAlign w:val="bottom"/>
            <w:gridSpan w:val="2"/>
          </w:tcPr>
          <w:p>
            <w:pPr>
              <w:ind w:left="760"/>
              <w:spacing w:after="0"/>
              <w:rPr>
                <w:sz w:val="20"/>
                <w:szCs w:val="20"/>
                <w:color w:val="auto"/>
              </w:rPr>
            </w:pPr>
            <w:r>
              <w:rPr>
                <w:rFonts w:ascii="Arial" w:cs="Arial" w:eastAsia="Arial" w:hAnsi="Arial"/>
                <w:sz w:val="18"/>
                <w:szCs w:val="18"/>
                <w:color w:val="0000FF"/>
              </w:rPr>
              <w:t>01/17/2017</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4"/>
                <w:szCs w:val="14"/>
                <w:color w:val="0000FF"/>
              </w:rPr>
              <w:t>A</w:t>
            </w:r>
          </w:p>
        </w:tc>
        <w:tc>
          <w:tcPr>
            <w:tcW w:w="1020" w:type="dxa"/>
            <w:vAlign w:val="bottom"/>
            <w:gridSpan w:val="2"/>
          </w:tcPr>
          <w:p>
            <w:pPr>
              <w:jc w:val="right"/>
              <w:ind w:right="179"/>
              <w:spacing w:after="0"/>
              <w:rPr>
                <w:sz w:val="20"/>
                <w:szCs w:val="20"/>
                <w:color w:val="auto"/>
              </w:rPr>
            </w:pPr>
            <w:r>
              <w:rPr>
                <w:rFonts w:ascii="Arial" w:cs="Arial" w:eastAsia="Arial" w:hAnsi="Arial"/>
                <w:sz w:val="18"/>
                <w:szCs w:val="18"/>
                <w:color w:val="0000FF"/>
              </w:rPr>
              <w:t>104,109</w:t>
            </w:r>
          </w:p>
        </w:tc>
        <w:tc>
          <w:tcPr>
            <w:tcW w:w="440" w:type="dxa"/>
            <w:vAlign w:val="bottom"/>
          </w:tcPr>
          <w:p>
            <w:pPr>
              <w:ind w:left="120"/>
              <w:spacing w:after="0"/>
              <w:rPr>
                <w:sz w:val="20"/>
                <w:szCs w:val="20"/>
                <w:color w:val="auto"/>
              </w:rPr>
            </w:pPr>
            <w:r>
              <w:rPr>
                <w:rFonts w:ascii="Arial" w:cs="Arial" w:eastAsia="Arial" w:hAnsi="Arial"/>
                <w:sz w:val="18"/>
                <w:szCs w:val="18"/>
                <w:color w:val="0000FF"/>
              </w:rPr>
              <w:t>A</w:t>
            </w:r>
          </w:p>
        </w:tc>
        <w:tc>
          <w:tcPr>
            <w:tcW w:w="260" w:type="dxa"/>
            <w:vAlign w:val="bottom"/>
          </w:tcPr>
          <w:p>
            <w:pPr>
              <w:spacing w:after="0"/>
              <w:rPr>
                <w:sz w:val="23"/>
                <w:szCs w:val="23"/>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1"/>
                <w:szCs w:val="11"/>
                <w:color w:val="008000"/>
                <w:w w:val="74"/>
              </w:rPr>
              <w:t>(1)</w:t>
            </w:r>
          </w:p>
        </w:tc>
        <w:tc>
          <w:tcPr>
            <w:tcW w:w="1480" w:type="dxa"/>
            <w:vAlign w:val="bottom"/>
            <w:gridSpan w:val="3"/>
          </w:tcPr>
          <w:p>
            <w:pPr>
              <w:jc w:val="right"/>
              <w:ind w:right="319"/>
              <w:spacing w:after="0"/>
              <w:rPr>
                <w:sz w:val="20"/>
                <w:szCs w:val="20"/>
                <w:color w:val="auto"/>
              </w:rPr>
            </w:pPr>
            <w:r>
              <w:rPr>
                <w:rFonts w:ascii="Arial" w:cs="Arial" w:eastAsia="Arial" w:hAnsi="Arial"/>
                <w:sz w:val="18"/>
                <w:szCs w:val="18"/>
                <w:color w:val="0000FF"/>
              </w:rPr>
              <w:t>104,109</w:t>
            </w:r>
          </w:p>
        </w:tc>
        <w:tc>
          <w:tcPr>
            <w:tcW w:w="900" w:type="dxa"/>
            <w:vAlign w:val="bottom"/>
          </w:tcPr>
          <w:p>
            <w:pPr>
              <w:ind w:left="36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Pr>
          <w:p>
            <w:pPr>
              <w:spacing w:after="0"/>
              <w:rPr>
                <w:sz w:val="18"/>
                <w:szCs w:val="18"/>
                <w:color w:val="auto"/>
              </w:rPr>
            </w:pPr>
          </w:p>
        </w:tc>
        <w:tc>
          <w:tcPr>
            <w:tcW w:w="1760" w:type="dxa"/>
            <w:vAlign w:val="bottom"/>
            <w:gridSpan w:val="2"/>
            <w:vMerge w:val="restart"/>
          </w:tcPr>
          <w:p>
            <w:pPr>
              <w:ind w:left="760"/>
              <w:spacing w:after="0"/>
              <w:rPr>
                <w:sz w:val="20"/>
                <w:szCs w:val="20"/>
                <w:color w:val="auto"/>
              </w:rPr>
            </w:pPr>
            <w:r>
              <w:rPr>
                <w:rFonts w:ascii="Arial" w:cs="Arial" w:eastAsia="Arial" w:hAnsi="Arial"/>
                <w:sz w:val="18"/>
                <w:szCs w:val="18"/>
                <w:color w:val="0000FF"/>
              </w:rPr>
              <w:t>01/17/2017</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020" w:type="dxa"/>
            <w:vAlign w:val="bottom"/>
            <w:gridSpan w:val="2"/>
            <w:vMerge w:val="restart"/>
          </w:tcPr>
          <w:p>
            <w:pPr>
              <w:jc w:val="right"/>
              <w:ind w:right="79"/>
              <w:spacing w:after="0"/>
              <w:rPr>
                <w:sz w:val="20"/>
                <w:szCs w:val="20"/>
                <w:color w:val="auto"/>
              </w:rPr>
            </w:pPr>
            <w:r>
              <w:rPr>
                <w:rFonts w:ascii="Arial" w:cs="Arial" w:eastAsia="Arial" w:hAnsi="Arial"/>
                <w:sz w:val="18"/>
                <w:szCs w:val="18"/>
                <w:color w:val="0000FF"/>
                <w:w w:val="95"/>
              </w:rPr>
              <w:t>5,594.1569</w:t>
            </w:r>
          </w:p>
        </w:tc>
        <w:tc>
          <w:tcPr>
            <w:tcW w:w="440" w:type="dxa"/>
            <w:vAlign w:val="bottom"/>
            <w:vMerge w:val="restart"/>
          </w:tcPr>
          <w:p>
            <w:pPr>
              <w:ind w:left="120"/>
              <w:spacing w:after="0"/>
              <w:rPr>
                <w:sz w:val="20"/>
                <w:szCs w:val="20"/>
                <w:color w:val="auto"/>
              </w:rPr>
            </w:pPr>
            <w:r>
              <w:rPr>
                <w:rFonts w:ascii="Arial" w:cs="Arial" w:eastAsia="Arial" w:hAnsi="Arial"/>
                <w:sz w:val="18"/>
                <w:szCs w:val="18"/>
                <w:color w:val="0000FF"/>
              </w:rPr>
              <w:t>A</w:t>
            </w:r>
          </w:p>
        </w:tc>
        <w:tc>
          <w:tcPr>
            <w:tcW w:w="260" w:type="dxa"/>
            <w:vAlign w:val="bottom"/>
          </w:tcPr>
          <w:p>
            <w:pPr>
              <w:spacing w:after="0"/>
              <w:rPr>
                <w:sz w:val="18"/>
                <w:szCs w:val="18"/>
                <w:color w:val="auto"/>
              </w:rPr>
            </w:pP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1"/>
                <w:szCs w:val="11"/>
                <w:color w:val="008000"/>
                <w:w w:val="74"/>
              </w:rPr>
              <w:t>(1)</w:t>
            </w:r>
          </w:p>
        </w:tc>
        <w:tc>
          <w:tcPr>
            <w:tcW w:w="1480" w:type="dxa"/>
            <w:vAlign w:val="bottom"/>
            <w:gridSpan w:val="3"/>
            <w:vMerge w:val="restart"/>
          </w:tcPr>
          <w:p>
            <w:pPr>
              <w:jc w:val="right"/>
              <w:ind w:right="199"/>
              <w:spacing w:after="0"/>
              <w:rPr>
                <w:sz w:val="20"/>
                <w:szCs w:val="20"/>
                <w:color w:val="auto"/>
              </w:rPr>
            </w:pPr>
            <w:r>
              <w:rPr>
                <w:rFonts w:ascii="Arial" w:cs="Arial" w:eastAsia="Arial" w:hAnsi="Arial"/>
                <w:sz w:val="18"/>
                <w:szCs w:val="18"/>
                <w:color w:val="0000FF"/>
              </w:rPr>
              <w:t>5,594.1569</w:t>
            </w:r>
          </w:p>
        </w:tc>
        <w:tc>
          <w:tcPr>
            <w:tcW w:w="90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20" w:type="dxa"/>
            <w:vAlign w:val="bottom"/>
            <w:gridSpan w:val="2"/>
          </w:tcPr>
          <w:p>
            <w:pPr>
              <w:ind w:left="60"/>
              <w:spacing w:after="0"/>
              <w:rPr>
                <w:sz w:val="20"/>
                <w:szCs w:val="20"/>
                <w:color w:val="auto"/>
              </w:rPr>
            </w:pPr>
            <w:r>
              <w:rPr>
                <w:rFonts w:ascii="Arial" w:cs="Arial" w:eastAsia="Arial" w:hAnsi="Arial"/>
                <w:sz w:val="18"/>
                <w:szCs w:val="18"/>
                <w:color w:val="0000FF"/>
              </w:rPr>
              <w:t>Qualified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gridSpan w:val="2"/>
            <w:vMerge w:val="continue"/>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258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12"/>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w w:val="99"/>
              </w:rPr>
              <w:t>Security (Instr. 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gridSpan w:val="2"/>
          </w:tcPr>
          <w:p>
            <w:pPr>
              <w:ind w:left="20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70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Business Combination Agreement, dated as of June 14, 2016 (the "BCA"), by and among the Issuer, FMC Technologies, Inc. ("FMCTI") and Technip S.A. ("Technip"), each share of FMCTI common stock beneficially owned by the Reporting Person at the effective time of the transactions contemplated by the BCA was exchanged for 1.00 ordinary share of the Issuer.</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Lisa P. Wang - Attorney-In-</w:t>
            </w:r>
          </w:p>
        </w:tc>
        <w:tc>
          <w:tcPr>
            <w:tcW w:w="1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01/18/2017</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0024" TargetMode="External"/><Relationship Id="rId13"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2019-12-24T09:21:14Z</dcterms:created>
  <dcterms:modified xsi:type="dcterms:W3CDTF">2019-12-24T09:21:14Z</dcterms:modified>
</cp:coreProperties>
</file>