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1,284,977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2,421,002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automatic conversion of certain performance stock units previously awarded to the Reporting Person into restricted stock units in connection with the completion of the Issuer's pro-rata distribution of a portion of the outstanding shares of Technip Energies N.V. to the Issuer's shareholders (the "Spin-Off"). Each restricted stock unit represents a contingent right to receive one Ordinary Share and will vest in accordance with the applicable award(s).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held by the Reporting Person pursuant to anti-dilution provisions contained in the applicable awards, which provisions were triggered as a result of the Spin-Off.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50840" TargetMode="External"/><Relationship Id="rId14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2021-02-18T15:41:38Z</dcterms:created>
  <dcterms:modified xsi:type="dcterms:W3CDTF">2021-02-18T15:41:38Z</dcterms:modified>
</cp:coreProperties>
</file>